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34E69">
      <w:pPr>
        <w:pStyle w:val="8"/>
        <w:ind w:firstLine="0"/>
        <w:jc w:val="center"/>
        <w:rPr>
          <w:rFonts w:eastAsia="黑体"/>
          <w:b/>
          <w:kern w:val="28"/>
          <w:sz w:val="52"/>
        </w:rPr>
      </w:pPr>
    </w:p>
    <w:p w14:paraId="05851E6F">
      <w:pPr>
        <w:pStyle w:val="8"/>
        <w:ind w:firstLine="0"/>
        <w:jc w:val="center"/>
        <w:rPr>
          <w:rFonts w:eastAsia="黑体"/>
          <w:b/>
          <w:kern w:val="28"/>
          <w:sz w:val="52"/>
        </w:rPr>
      </w:pPr>
    </w:p>
    <w:p w14:paraId="4E81137B">
      <w:pPr>
        <w:pStyle w:val="8"/>
        <w:ind w:firstLine="0"/>
        <w:jc w:val="center"/>
        <w:rPr>
          <w:rFonts w:eastAsia="黑体"/>
          <w:b/>
          <w:kern w:val="28"/>
          <w:sz w:val="52"/>
        </w:rPr>
      </w:pPr>
    </w:p>
    <w:p w14:paraId="3D32B9F3">
      <w:pPr>
        <w:pStyle w:val="8"/>
        <w:ind w:firstLine="0"/>
        <w:jc w:val="center"/>
        <w:rPr>
          <w:rFonts w:eastAsia="黑体"/>
          <w:b/>
          <w:kern w:val="28"/>
          <w:sz w:val="52"/>
        </w:rPr>
      </w:pPr>
      <w:r>
        <w:rPr>
          <w:rFonts w:hint="eastAsia" w:eastAsia="黑体"/>
          <w:b/>
          <w:kern w:val="28"/>
          <w:sz w:val="52"/>
        </w:rPr>
        <w:t>中天国富证券有限公司</w:t>
      </w:r>
    </w:p>
    <w:p w14:paraId="02207091">
      <w:pPr>
        <w:pStyle w:val="8"/>
        <w:ind w:firstLine="0"/>
        <w:jc w:val="center"/>
        <w:rPr>
          <w:rFonts w:eastAsia="黑体"/>
          <w:b/>
          <w:kern w:val="28"/>
          <w:sz w:val="52"/>
        </w:rPr>
      </w:pPr>
    </w:p>
    <w:p w14:paraId="744E4968">
      <w:pPr>
        <w:spacing w:before="652" w:beforeLines="200" w:after="652" w:afterLines="200"/>
        <w:jc w:val="center"/>
        <w:rPr>
          <w:rFonts w:hint="eastAsia" w:ascii="宋体" w:hAnsi="宋体" w:eastAsia="楷体_GB2312"/>
          <w:b/>
          <w:sz w:val="44"/>
          <w:szCs w:val="44"/>
        </w:rPr>
      </w:pPr>
    </w:p>
    <w:p w14:paraId="4A1A7671">
      <w:pPr>
        <w:jc w:val="center"/>
        <w:rPr>
          <w:rFonts w:hint="eastAsia" w:ascii="宋体" w:hAnsi="宋体" w:eastAsia="楷体_GB2312"/>
          <w:b/>
          <w:sz w:val="44"/>
          <w:szCs w:val="44"/>
        </w:rPr>
      </w:pPr>
      <w:r>
        <w:rPr>
          <w:rFonts w:hint="eastAsia" w:ascii="宋体" w:hAnsi="宋体" w:eastAsia="楷体_GB2312"/>
          <w:b/>
          <w:sz w:val="44"/>
          <w:szCs w:val="44"/>
        </w:rPr>
        <w:t>中天国富公司总部和分支机构上网行为管理设备更新项目招标书</w:t>
      </w:r>
    </w:p>
    <w:p w14:paraId="2400D0AA">
      <w:pPr>
        <w:widowControl/>
        <w:rPr>
          <w:rFonts w:hint="eastAsia" w:ascii="宋体" w:hAnsi="宋体" w:eastAsia="楷体_GB2312"/>
          <w:b/>
          <w:sz w:val="44"/>
          <w:szCs w:val="44"/>
        </w:rPr>
      </w:pPr>
      <w:r>
        <w:rPr>
          <w:rFonts w:ascii="宋体" w:hAnsi="宋体" w:eastAsia="楷体_GB2312"/>
          <w:b/>
          <w:sz w:val="44"/>
          <w:szCs w:val="44"/>
        </w:rPr>
        <w:br w:type="page"/>
      </w:r>
    </w:p>
    <w:p w14:paraId="6A7501A0">
      <w:pPr>
        <w:spacing w:line="360" w:lineRule="auto"/>
        <w:jc w:val="center"/>
        <w:rPr>
          <w:rFonts w:hint="eastAsia" w:ascii="宋体" w:hAnsi="宋体"/>
          <w:b/>
          <w:sz w:val="30"/>
          <w:szCs w:val="30"/>
        </w:rPr>
      </w:pPr>
      <w:r>
        <w:rPr>
          <w:rFonts w:hint="eastAsia" w:ascii="宋体" w:hAnsi="宋体"/>
          <w:b/>
          <w:sz w:val="30"/>
          <w:szCs w:val="30"/>
        </w:rPr>
        <w:t>目 录</w:t>
      </w:r>
    </w:p>
    <w:p w14:paraId="17935755">
      <w:pPr>
        <w:pStyle w:val="14"/>
        <w:tabs>
          <w:tab w:val="left" w:pos="420"/>
          <w:tab w:val="right" w:leader="dot" w:pos="8296"/>
        </w:tabs>
        <w:rPr>
          <w:rFonts w:asciiTheme="minorHAnsi" w:hAnsiTheme="minorHAnsi" w:eastAsiaTheme="minorEastAsia" w:cstheme="minorBidi"/>
          <w:sz w:val="21"/>
          <w14:ligatures w14:val="standardContextual"/>
        </w:rPr>
      </w:pPr>
      <w:r>
        <w:rPr>
          <w:rFonts w:hint="eastAsia" w:ascii="宋体" w:hAnsi="宋体" w:cs="宋体"/>
          <w:b/>
          <w:sz w:val="30"/>
          <w:szCs w:val="30"/>
        </w:rPr>
        <w:fldChar w:fldCharType="begin"/>
      </w:r>
      <w:r>
        <w:rPr>
          <w:rFonts w:hint="eastAsia" w:ascii="宋体" w:hAnsi="宋体" w:cs="宋体"/>
          <w:b/>
          <w:sz w:val="30"/>
          <w:szCs w:val="30"/>
        </w:rPr>
        <w:instrText xml:space="preserve"> TOC \o "1-1" \h \z \u </w:instrText>
      </w:r>
      <w:r>
        <w:rPr>
          <w:rFonts w:hint="eastAsia" w:ascii="宋体" w:hAnsi="宋体" w:cs="宋体"/>
          <w:b/>
          <w:sz w:val="30"/>
          <w:szCs w:val="30"/>
        </w:rPr>
        <w:fldChar w:fldCharType="separate"/>
      </w:r>
      <w:r>
        <w:fldChar w:fldCharType="begin"/>
      </w:r>
      <w:r>
        <w:instrText xml:space="preserve"> HYPERLINK \l "_Toc157590060" </w:instrText>
      </w:r>
      <w:r>
        <w:fldChar w:fldCharType="separate"/>
      </w:r>
      <w:r>
        <w:rPr>
          <w:rStyle w:val="24"/>
          <w:rFonts w:asciiTheme="minorEastAsia" w:hAnsiTheme="minorEastAsia"/>
        </w:rPr>
        <w:t>1.</w:t>
      </w:r>
      <w:r>
        <w:rPr>
          <w:rFonts w:asciiTheme="minorHAnsi" w:hAnsiTheme="minorHAnsi" w:eastAsiaTheme="minorEastAsia" w:cstheme="minorBidi"/>
          <w:sz w:val="21"/>
          <w14:ligatures w14:val="standardContextual"/>
        </w:rPr>
        <w:tab/>
      </w:r>
      <w:r>
        <w:rPr>
          <w:rStyle w:val="24"/>
          <w:rFonts w:ascii="宋体" w:hAnsi="宋体"/>
        </w:rPr>
        <w:t>招标单位</w:t>
      </w:r>
      <w:r>
        <w:tab/>
      </w:r>
      <w:r>
        <w:fldChar w:fldCharType="begin"/>
      </w:r>
      <w:r>
        <w:instrText xml:space="preserve"> PAGEREF _Toc157590060 \h </w:instrText>
      </w:r>
      <w:r>
        <w:fldChar w:fldCharType="separate"/>
      </w:r>
      <w:r>
        <w:t>3</w:t>
      </w:r>
      <w:r>
        <w:fldChar w:fldCharType="end"/>
      </w:r>
      <w:r>
        <w:fldChar w:fldCharType="end"/>
      </w:r>
    </w:p>
    <w:p w14:paraId="1CE47499">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"_Toc157590061" </w:instrText>
      </w:r>
      <w:r>
        <w:fldChar w:fldCharType="separate"/>
      </w:r>
      <w:r>
        <w:rPr>
          <w:rStyle w:val="24"/>
          <w:rFonts w:asciiTheme="minorEastAsia" w:hAnsiTheme="minorEastAsia"/>
        </w:rPr>
        <w:t>2.</w:t>
      </w:r>
      <w:r>
        <w:rPr>
          <w:rFonts w:asciiTheme="minorHAnsi" w:hAnsiTheme="minorHAnsi" w:eastAsiaTheme="minorEastAsia" w:cstheme="minorBidi"/>
          <w:sz w:val="21"/>
          <w14:ligatures w14:val="standardContextual"/>
        </w:rPr>
        <w:tab/>
      </w:r>
      <w:r>
        <w:rPr>
          <w:rStyle w:val="24"/>
          <w:rFonts w:ascii="宋体" w:hAnsi="宋体"/>
        </w:rPr>
        <w:t>招标邀请函</w:t>
      </w:r>
      <w:r>
        <w:tab/>
      </w:r>
      <w:r>
        <w:fldChar w:fldCharType="begin"/>
      </w:r>
      <w:r>
        <w:instrText xml:space="preserve"> PAGEREF _Toc157590061 \h </w:instrText>
      </w:r>
      <w:r>
        <w:fldChar w:fldCharType="separate"/>
      </w:r>
      <w:r>
        <w:t>3</w:t>
      </w:r>
      <w:r>
        <w:fldChar w:fldCharType="end"/>
      </w:r>
      <w:r>
        <w:fldChar w:fldCharType="end"/>
      </w:r>
    </w:p>
    <w:p w14:paraId="6D28578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"_Toc157590062" </w:instrText>
      </w:r>
      <w:r>
        <w:fldChar w:fldCharType="separate"/>
      </w:r>
      <w:r>
        <w:rPr>
          <w:rStyle w:val="24"/>
          <w:rFonts w:asciiTheme="minorEastAsia" w:hAnsiTheme="minorEastAsia"/>
        </w:rPr>
        <w:t>3.</w:t>
      </w:r>
      <w:r>
        <w:rPr>
          <w:rFonts w:asciiTheme="minorHAnsi" w:hAnsiTheme="minorHAnsi" w:eastAsiaTheme="minorEastAsia" w:cstheme="minorBidi"/>
          <w:sz w:val="21"/>
          <w14:ligatures w14:val="standardContextual"/>
        </w:rPr>
        <w:tab/>
      </w:r>
      <w:r>
        <w:rPr>
          <w:rStyle w:val="24"/>
          <w:rFonts w:ascii="宋体" w:hAnsi="宋体"/>
        </w:rPr>
        <w:t>招标项目</w:t>
      </w:r>
      <w:r>
        <w:tab/>
      </w:r>
      <w:r>
        <w:fldChar w:fldCharType="begin"/>
      </w:r>
      <w:r>
        <w:instrText xml:space="preserve"> PAGEREF _Toc157590062 \h </w:instrText>
      </w:r>
      <w:r>
        <w:fldChar w:fldCharType="separate"/>
      </w:r>
      <w:r>
        <w:t>4</w:t>
      </w:r>
      <w:r>
        <w:fldChar w:fldCharType="end"/>
      </w:r>
      <w:r>
        <w:fldChar w:fldCharType="end"/>
      </w:r>
    </w:p>
    <w:p w14:paraId="719DBC11">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"_Toc157590063" </w:instrText>
      </w:r>
      <w:r>
        <w:fldChar w:fldCharType="separate"/>
      </w:r>
      <w:r>
        <w:rPr>
          <w:rStyle w:val="24"/>
          <w:rFonts w:asciiTheme="minorEastAsia" w:hAnsiTheme="minorEastAsia"/>
        </w:rPr>
        <w:t>4.</w:t>
      </w:r>
      <w:r>
        <w:rPr>
          <w:rFonts w:asciiTheme="minorHAnsi" w:hAnsiTheme="minorHAnsi" w:eastAsiaTheme="minorEastAsia" w:cstheme="minorBidi"/>
          <w:sz w:val="21"/>
          <w14:ligatures w14:val="standardContextual"/>
        </w:rPr>
        <w:tab/>
      </w:r>
      <w:r>
        <w:rPr>
          <w:rStyle w:val="24"/>
          <w:rFonts w:ascii="宋体" w:hAnsi="宋体"/>
        </w:rPr>
        <w:t>投标条件</w:t>
      </w:r>
      <w:r>
        <w:tab/>
      </w:r>
      <w:r>
        <w:fldChar w:fldCharType="begin"/>
      </w:r>
      <w:r>
        <w:instrText xml:space="preserve"> PAGEREF _Toc157590063 \h </w:instrText>
      </w:r>
      <w:r>
        <w:fldChar w:fldCharType="separate"/>
      </w:r>
      <w:r>
        <w:t>14</w:t>
      </w:r>
      <w:r>
        <w:fldChar w:fldCharType="end"/>
      </w:r>
      <w:r>
        <w:fldChar w:fldCharType="end"/>
      </w:r>
    </w:p>
    <w:p w14:paraId="18B2D1C9">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"_Toc157590064" </w:instrText>
      </w:r>
      <w:r>
        <w:fldChar w:fldCharType="separate"/>
      </w:r>
      <w:r>
        <w:rPr>
          <w:rStyle w:val="24"/>
          <w:rFonts w:asciiTheme="minorEastAsia" w:hAnsiTheme="minorEastAsia"/>
        </w:rPr>
        <w:t>5.</w:t>
      </w:r>
      <w:r>
        <w:rPr>
          <w:rFonts w:asciiTheme="minorHAnsi" w:hAnsiTheme="minorHAnsi" w:eastAsiaTheme="minorEastAsia" w:cstheme="minorBidi"/>
          <w:sz w:val="21"/>
          <w14:ligatures w14:val="standardContextual"/>
        </w:rPr>
        <w:tab/>
      </w:r>
      <w:r>
        <w:rPr>
          <w:rStyle w:val="24"/>
          <w:rFonts w:ascii="宋体" w:hAnsi="宋体"/>
        </w:rPr>
        <w:t>招标方式</w:t>
      </w:r>
      <w:r>
        <w:tab/>
      </w:r>
      <w:r>
        <w:fldChar w:fldCharType="begin"/>
      </w:r>
      <w:r>
        <w:instrText xml:space="preserve"> PAGEREF _Toc157590064 \h </w:instrText>
      </w:r>
      <w:r>
        <w:fldChar w:fldCharType="separate"/>
      </w:r>
      <w:r>
        <w:t>15</w:t>
      </w:r>
      <w:r>
        <w:fldChar w:fldCharType="end"/>
      </w:r>
      <w:r>
        <w:fldChar w:fldCharType="end"/>
      </w:r>
    </w:p>
    <w:p w14:paraId="7C09974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"_Toc157590065" </w:instrText>
      </w:r>
      <w:r>
        <w:fldChar w:fldCharType="separate"/>
      </w:r>
      <w:r>
        <w:rPr>
          <w:rStyle w:val="24"/>
          <w:rFonts w:asciiTheme="minorEastAsia" w:hAnsiTheme="minorEastAsia"/>
        </w:rPr>
        <w:t>6.</w:t>
      </w:r>
      <w:r>
        <w:rPr>
          <w:rFonts w:asciiTheme="minorHAnsi" w:hAnsiTheme="minorHAnsi" w:eastAsiaTheme="minorEastAsia" w:cstheme="minorBidi"/>
          <w:sz w:val="21"/>
          <w14:ligatures w14:val="standardContextual"/>
        </w:rPr>
        <w:tab/>
      </w:r>
      <w:r>
        <w:rPr>
          <w:rStyle w:val="24"/>
          <w:rFonts w:ascii="宋体" w:hAnsi="宋体"/>
        </w:rPr>
        <w:t>投标报价</w:t>
      </w:r>
      <w:r>
        <w:tab/>
      </w:r>
      <w:r>
        <w:fldChar w:fldCharType="begin"/>
      </w:r>
      <w:r>
        <w:instrText xml:space="preserve"> PAGEREF _Toc157590065 \h </w:instrText>
      </w:r>
      <w:r>
        <w:fldChar w:fldCharType="separate"/>
      </w:r>
      <w:r>
        <w:t>16</w:t>
      </w:r>
      <w:r>
        <w:fldChar w:fldCharType="end"/>
      </w:r>
      <w:r>
        <w:fldChar w:fldCharType="end"/>
      </w:r>
    </w:p>
    <w:p w14:paraId="0168553E">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"_Toc157590066" </w:instrText>
      </w:r>
      <w:r>
        <w:fldChar w:fldCharType="separate"/>
      </w:r>
      <w:r>
        <w:rPr>
          <w:rStyle w:val="24"/>
          <w:rFonts w:asciiTheme="minorEastAsia" w:hAnsiTheme="minorEastAsia"/>
        </w:rPr>
        <w:t>7.</w:t>
      </w:r>
      <w:r>
        <w:rPr>
          <w:rFonts w:asciiTheme="minorHAnsi" w:hAnsiTheme="minorHAnsi" w:eastAsiaTheme="minorEastAsia" w:cstheme="minorBidi"/>
          <w:sz w:val="21"/>
          <w14:ligatures w14:val="standardContextual"/>
        </w:rPr>
        <w:tab/>
      </w:r>
      <w:r>
        <w:rPr>
          <w:rStyle w:val="24"/>
          <w:rFonts w:ascii="宋体" w:hAnsi="宋体"/>
        </w:rPr>
        <w:t>投标须知</w:t>
      </w:r>
      <w:r>
        <w:tab/>
      </w:r>
      <w:r>
        <w:fldChar w:fldCharType="begin"/>
      </w:r>
      <w:r>
        <w:instrText xml:space="preserve"> PAGEREF _Toc157590066 \h </w:instrText>
      </w:r>
      <w:r>
        <w:fldChar w:fldCharType="separate"/>
      </w:r>
      <w:r>
        <w:t>16</w:t>
      </w:r>
      <w:r>
        <w:fldChar w:fldCharType="end"/>
      </w:r>
      <w:r>
        <w:fldChar w:fldCharType="end"/>
      </w:r>
    </w:p>
    <w:p w14:paraId="2695BC55">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"_Toc157590067" </w:instrText>
      </w:r>
      <w:r>
        <w:fldChar w:fldCharType="separate"/>
      </w:r>
      <w:r>
        <w:rPr>
          <w:rStyle w:val="24"/>
          <w:rFonts w:asciiTheme="minorEastAsia" w:hAnsiTheme="minorEastAsia"/>
        </w:rPr>
        <w:t>8.</w:t>
      </w:r>
      <w:r>
        <w:rPr>
          <w:rFonts w:asciiTheme="minorHAnsi" w:hAnsiTheme="minorHAnsi" w:eastAsiaTheme="minorEastAsia" w:cstheme="minorBidi"/>
          <w:sz w:val="21"/>
          <w14:ligatures w14:val="standardContextual"/>
        </w:rPr>
        <w:tab/>
      </w:r>
      <w:r>
        <w:rPr>
          <w:rStyle w:val="24"/>
          <w:rFonts w:ascii="宋体" w:hAnsi="宋体"/>
        </w:rPr>
        <w:t>评标规则与中标通知</w:t>
      </w:r>
      <w:r>
        <w:tab/>
      </w:r>
      <w:r>
        <w:fldChar w:fldCharType="begin"/>
      </w:r>
      <w:r>
        <w:instrText xml:space="preserve"> PAGEREF _Toc157590067 \h </w:instrText>
      </w:r>
      <w:r>
        <w:fldChar w:fldCharType="separate"/>
      </w:r>
      <w:r>
        <w:t>20</w:t>
      </w:r>
      <w:r>
        <w:fldChar w:fldCharType="end"/>
      </w:r>
      <w:r>
        <w:fldChar w:fldCharType="end"/>
      </w:r>
    </w:p>
    <w:p w14:paraId="7EBAF43C">
      <w:pPr>
        <w:pStyle w:val="14"/>
        <w:tabs>
          <w:tab w:val="left" w:pos="42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"_Toc157590068" </w:instrText>
      </w:r>
      <w:r>
        <w:fldChar w:fldCharType="separate"/>
      </w:r>
      <w:r>
        <w:rPr>
          <w:rStyle w:val="24"/>
          <w:rFonts w:asciiTheme="minorEastAsia" w:hAnsiTheme="minorEastAsia"/>
        </w:rPr>
        <w:t>9.</w:t>
      </w:r>
      <w:r>
        <w:rPr>
          <w:rFonts w:asciiTheme="minorHAnsi" w:hAnsiTheme="minorHAnsi" w:eastAsiaTheme="minorEastAsia" w:cstheme="minorBidi"/>
          <w:sz w:val="21"/>
          <w14:ligatures w14:val="standardContextual"/>
        </w:rPr>
        <w:tab/>
      </w:r>
      <w:r>
        <w:rPr>
          <w:rStyle w:val="24"/>
          <w:rFonts w:ascii="宋体" w:hAnsi="宋体"/>
        </w:rPr>
        <w:t>投标文件组成</w:t>
      </w:r>
      <w:r>
        <w:tab/>
      </w:r>
      <w:r>
        <w:fldChar w:fldCharType="begin"/>
      </w:r>
      <w:r>
        <w:instrText xml:space="preserve"> PAGEREF _Toc157590068 \h </w:instrText>
      </w:r>
      <w:r>
        <w:fldChar w:fldCharType="separate"/>
      </w:r>
      <w:r>
        <w:t>20</w:t>
      </w:r>
      <w:r>
        <w:fldChar w:fldCharType="end"/>
      </w:r>
      <w:r>
        <w:fldChar w:fldCharType="end"/>
      </w:r>
    </w:p>
    <w:p w14:paraId="74ED240E">
      <w:pPr>
        <w:pStyle w:val="14"/>
        <w:tabs>
          <w:tab w:val="left" w:pos="630"/>
          <w:tab w:val="right" w:leader="dot" w:pos="8296"/>
        </w:tabs>
        <w:rPr>
          <w:rFonts w:asciiTheme="minorHAnsi" w:hAnsiTheme="minorHAnsi" w:eastAsiaTheme="minorEastAsia" w:cstheme="minorBidi"/>
          <w:sz w:val="21"/>
          <w14:ligatures w14:val="standardContextual"/>
        </w:rPr>
      </w:pPr>
      <w:r>
        <w:fldChar w:fldCharType="begin"/>
      </w:r>
      <w:r>
        <w:instrText xml:space="preserve"> HYPERLINK \l "_Toc157590069" </w:instrText>
      </w:r>
      <w:r>
        <w:fldChar w:fldCharType="separate"/>
      </w:r>
      <w:r>
        <w:rPr>
          <w:rStyle w:val="24"/>
          <w:rFonts w:asciiTheme="minorEastAsia" w:hAnsiTheme="minorEastAsia"/>
        </w:rPr>
        <w:t>10.</w:t>
      </w:r>
      <w:r>
        <w:rPr>
          <w:rFonts w:asciiTheme="minorHAnsi" w:hAnsiTheme="minorHAnsi" w:eastAsiaTheme="minorEastAsia" w:cstheme="minorBidi"/>
          <w:sz w:val="21"/>
          <w14:ligatures w14:val="standardContextual"/>
        </w:rPr>
        <w:tab/>
      </w:r>
      <w:r>
        <w:rPr>
          <w:rStyle w:val="24"/>
          <w:rFonts w:ascii="宋体" w:hAnsi="宋体"/>
        </w:rPr>
        <w:t>附件</w:t>
      </w:r>
      <w:r>
        <w:tab/>
      </w:r>
      <w:r>
        <w:fldChar w:fldCharType="begin"/>
      </w:r>
      <w:r>
        <w:instrText xml:space="preserve"> PAGEREF _Toc157590069 \h </w:instrText>
      </w:r>
      <w:r>
        <w:fldChar w:fldCharType="separate"/>
      </w:r>
      <w:r>
        <w:t>22</w:t>
      </w:r>
      <w:r>
        <w:fldChar w:fldCharType="end"/>
      </w:r>
      <w:r>
        <w:fldChar w:fldCharType="end"/>
      </w:r>
    </w:p>
    <w:p w14:paraId="7AC48DF7">
      <w:pPr>
        <w:spacing w:line="360" w:lineRule="auto"/>
        <w:rPr>
          <w:rFonts w:hint="eastAsia" w:ascii="宋体" w:hAnsi="宋体" w:eastAsia="楷体_GB2312"/>
          <w:b/>
          <w:sz w:val="44"/>
          <w:szCs w:val="44"/>
        </w:rPr>
      </w:pPr>
      <w:r>
        <w:rPr>
          <w:rFonts w:hint="eastAsia" w:ascii="宋体" w:hAnsi="宋体" w:cs="宋体"/>
          <w:szCs w:val="30"/>
        </w:rPr>
        <w:fldChar w:fldCharType="end"/>
      </w:r>
    </w:p>
    <w:p w14:paraId="64806AF2">
      <w:pPr>
        <w:pStyle w:val="2"/>
        <w:numPr>
          <w:ilvl w:val="0"/>
          <w:numId w:val="1"/>
        </w:numPr>
        <w:spacing w:line="360" w:lineRule="auto"/>
        <w:rPr>
          <w:rFonts w:hint="eastAsia" w:ascii="宋体" w:hAnsi="宋体"/>
          <w:sz w:val="24"/>
          <w:szCs w:val="24"/>
        </w:rPr>
      </w:pPr>
      <w:r>
        <w:br w:type="page"/>
      </w:r>
      <w:bookmarkStart w:id="0" w:name="_Toc157590060"/>
      <w:r>
        <w:rPr>
          <w:rFonts w:hint="eastAsia" w:ascii="宋体" w:hAnsi="宋体"/>
          <w:sz w:val="24"/>
          <w:szCs w:val="24"/>
        </w:rPr>
        <w:t>招标单位</w:t>
      </w:r>
      <w:bookmarkEnd w:id="0"/>
    </w:p>
    <w:p w14:paraId="2E399B72">
      <w:pPr>
        <w:pStyle w:val="33"/>
        <w:spacing w:line="360" w:lineRule="auto"/>
        <w:ind w:firstLine="480"/>
        <w:rPr>
          <w:rFonts w:hint="eastAsia" w:ascii="宋体" w:hAnsi="宋体" w:cs="宋体"/>
          <w:szCs w:val="24"/>
        </w:rPr>
      </w:pPr>
      <w:r>
        <w:rPr>
          <w:rFonts w:hint="eastAsia" w:ascii="宋体" w:hAnsi="宋体" w:cs="宋体"/>
          <w:szCs w:val="24"/>
        </w:rPr>
        <w:t>中天国富证券有限公司</w:t>
      </w:r>
    </w:p>
    <w:p w14:paraId="5573E970">
      <w:pPr>
        <w:pStyle w:val="2"/>
        <w:numPr>
          <w:ilvl w:val="0"/>
          <w:numId w:val="1"/>
        </w:numPr>
        <w:spacing w:line="360" w:lineRule="auto"/>
        <w:rPr>
          <w:rFonts w:hint="eastAsia" w:ascii="宋体" w:hAnsi="宋体"/>
          <w:sz w:val="24"/>
          <w:szCs w:val="24"/>
        </w:rPr>
      </w:pPr>
      <w:bookmarkStart w:id="1" w:name="_Toc518077749"/>
      <w:bookmarkStart w:id="2" w:name="_Toc157590061"/>
      <w:r>
        <w:rPr>
          <w:rFonts w:hint="eastAsia" w:ascii="宋体" w:hAnsi="宋体"/>
          <w:sz w:val="24"/>
          <w:szCs w:val="24"/>
        </w:rPr>
        <w:t>招标邀请函</w:t>
      </w:r>
      <w:bookmarkEnd w:id="1"/>
      <w:bookmarkEnd w:id="2"/>
    </w:p>
    <w:p w14:paraId="582D0B4C">
      <w:pPr>
        <w:pStyle w:val="47"/>
        <w:snapToGrid w:val="0"/>
        <w:spacing w:line="360" w:lineRule="auto"/>
        <w:ind w:firstLine="353"/>
        <w:rPr>
          <w:rFonts w:hint="eastAsia" w:asciiTheme="minorEastAsia" w:hAnsiTheme="minorEastAsia" w:eastAsiaTheme="minorEastAsia"/>
          <w:color w:val="auto"/>
        </w:rPr>
      </w:pPr>
      <w:r>
        <w:rPr>
          <w:rFonts w:hint="eastAsia" w:cs="Times New Roman" w:asciiTheme="minorEastAsia" w:hAnsiTheme="minorEastAsia" w:eastAsiaTheme="minorEastAsia"/>
          <w:kern w:val="2"/>
        </w:rPr>
        <w:t>（被邀请单位名称）：</w:t>
      </w:r>
    </w:p>
    <w:p w14:paraId="1BBBFB02">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经发包人确定，现邀请贵单位参加</w:t>
      </w:r>
      <w:r>
        <w:rPr>
          <w:rFonts w:hint="eastAsia" w:asciiTheme="minorEastAsia" w:hAnsiTheme="minorEastAsia" w:eastAsiaTheme="minorEastAsia"/>
          <w:szCs w:val="24"/>
          <w:u w:val="single"/>
        </w:rPr>
        <w:t xml:space="preserve">中天国富公司总部和分支机构上网行为管理设备更新项目 </w:t>
      </w:r>
      <w:r>
        <w:rPr>
          <w:rFonts w:hint="eastAsia" w:asciiTheme="minorEastAsia" w:hAnsiTheme="minorEastAsia" w:eastAsiaTheme="minorEastAsia"/>
          <w:szCs w:val="24"/>
        </w:rPr>
        <w:t>投标。</w:t>
      </w:r>
    </w:p>
    <w:p w14:paraId="5B97FDC1">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招标文件将以电子邮件形式发送到贵单位指定联系人邮箱。</w:t>
      </w:r>
    </w:p>
    <w:p w14:paraId="7DC00B58">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递交投标文件的截止时间为</w:t>
      </w:r>
      <w:commentRangeStart w:id="0"/>
      <w:r>
        <w:rPr>
          <w:rFonts w:asciiTheme="minorEastAsia" w:hAnsiTheme="minorEastAsia" w:eastAsiaTheme="minorEastAsia"/>
          <w:szCs w:val="24"/>
          <w:highlight w:val="yellow"/>
          <w:u w:val="single"/>
        </w:rPr>
        <w:t>202</w:t>
      </w:r>
      <w:r>
        <w:rPr>
          <w:rFonts w:hint="eastAsia" w:asciiTheme="minorEastAsia" w:hAnsiTheme="minorEastAsia" w:eastAsiaTheme="minorEastAsia"/>
          <w:szCs w:val="24"/>
          <w:highlight w:val="yellow"/>
          <w:u w:val="single"/>
        </w:rPr>
        <w:t>5</w:t>
      </w:r>
      <w:r>
        <w:rPr>
          <w:rFonts w:asciiTheme="minorEastAsia" w:hAnsiTheme="minorEastAsia" w:eastAsiaTheme="minorEastAsia"/>
          <w:szCs w:val="24"/>
          <w:highlight w:val="yellow"/>
          <w:u w:val="single"/>
        </w:rPr>
        <w:t xml:space="preserve"> 年 </w:t>
      </w:r>
      <w:r>
        <w:rPr>
          <w:rFonts w:hint="eastAsia" w:asciiTheme="minorEastAsia" w:hAnsiTheme="minorEastAsia" w:eastAsiaTheme="minorEastAsia"/>
          <w:szCs w:val="24"/>
          <w:highlight w:val="yellow"/>
          <w:u w:val="single"/>
          <w:lang w:val="en-US" w:eastAsia="zh-CN"/>
        </w:rPr>
        <w:t>X</w:t>
      </w:r>
      <w:r>
        <w:rPr>
          <w:rFonts w:asciiTheme="minorEastAsia" w:hAnsiTheme="minorEastAsia" w:eastAsiaTheme="minorEastAsia"/>
          <w:szCs w:val="24"/>
          <w:highlight w:val="yellow"/>
          <w:u w:val="single"/>
        </w:rPr>
        <w:t xml:space="preserve"> 月 </w:t>
      </w:r>
      <w:r>
        <w:rPr>
          <w:rFonts w:hint="eastAsia" w:asciiTheme="minorEastAsia" w:hAnsiTheme="minorEastAsia" w:eastAsiaTheme="minorEastAsia"/>
          <w:szCs w:val="24"/>
          <w:highlight w:val="yellow"/>
          <w:u w:val="single"/>
          <w:lang w:val="en-US" w:eastAsia="zh-CN"/>
        </w:rPr>
        <w:t>X</w:t>
      </w:r>
      <w:r>
        <w:rPr>
          <w:rFonts w:asciiTheme="minorEastAsia" w:hAnsiTheme="minorEastAsia" w:eastAsiaTheme="minorEastAsia"/>
          <w:szCs w:val="24"/>
          <w:highlight w:val="yellow"/>
          <w:u w:val="single"/>
        </w:rPr>
        <w:t>日</w:t>
      </w:r>
      <w:commentRangeEnd w:id="0"/>
      <w:r>
        <w:commentReference w:id="0"/>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lang w:val="en-US" w:eastAsia="zh-CN"/>
        </w:rPr>
        <w:t>X</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时，地点为</w:t>
      </w:r>
      <w:r>
        <w:rPr>
          <w:rFonts w:hint="eastAsia" w:asciiTheme="minorEastAsia" w:hAnsiTheme="minorEastAsia" w:eastAsiaTheme="minorEastAsia"/>
          <w:szCs w:val="24"/>
          <w:u w:val="single"/>
        </w:rPr>
        <w:t>深圳市南山区科苑南路3099号中国储能大厦</w:t>
      </w:r>
      <w:r>
        <w:rPr>
          <w:rFonts w:hint="eastAsia" w:asciiTheme="minorEastAsia" w:hAnsiTheme="minorEastAsia" w:eastAsiaTheme="minorEastAsia"/>
          <w:szCs w:val="24"/>
          <w:u w:val="single"/>
          <w:lang w:val="en-US" w:eastAsia="zh-CN"/>
        </w:rPr>
        <w:t>49</w:t>
      </w:r>
      <w:r>
        <w:rPr>
          <w:rFonts w:hint="eastAsia" w:asciiTheme="minorEastAsia" w:hAnsiTheme="minorEastAsia" w:eastAsiaTheme="minorEastAsia"/>
          <w:szCs w:val="24"/>
          <w:u w:val="single"/>
        </w:rPr>
        <w:t>楼</w:t>
      </w:r>
      <w:r>
        <w:rPr>
          <w:rFonts w:hint="eastAsia" w:asciiTheme="minorEastAsia" w:hAnsiTheme="minorEastAsia" w:eastAsiaTheme="minorEastAsia"/>
          <w:szCs w:val="24"/>
        </w:rPr>
        <w:t>。</w:t>
      </w:r>
    </w:p>
    <w:p w14:paraId="3CC29843">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逾期送达的或者未送达指定地点的投标文件，发包人不予接受。</w:t>
      </w:r>
      <w:commentRangeStart w:id="1"/>
      <w:r>
        <w:rPr>
          <w:rFonts w:hint="eastAsia" w:asciiTheme="minorEastAsia" w:hAnsiTheme="minorEastAsia" w:eastAsiaTheme="minorEastAsia"/>
          <w:szCs w:val="24"/>
        </w:rPr>
        <w:t>如投标单位不足三家将</w:t>
      </w:r>
      <w:r>
        <w:rPr>
          <w:rFonts w:hint="eastAsia" w:asciiTheme="minorEastAsia" w:hAnsiTheme="minorEastAsia" w:eastAsiaTheme="minorEastAsia"/>
          <w:szCs w:val="24"/>
          <w:lang w:val="en-US" w:eastAsia="zh-CN"/>
        </w:rPr>
        <w:t>重新组织招标</w:t>
      </w:r>
      <w:commentRangeEnd w:id="1"/>
      <w:r>
        <w:commentReference w:id="1"/>
      </w:r>
      <w:r>
        <w:rPr>
          <w:rFonts w:hint="eastAsia" w:asciiTheme="minorEastAsia" w:hAnsiTheme="minorEastAsia" w:eastAsiaTheme="minorEastAsia"/>
          <w:szCs w:val="24"/>
        </w:rPr>
        <w:t>。</w:t>
      </w:r>
    </w:p>
    <w:p w14:paraId="23C50E20">
      <w:pPr>
        <w:adjustRightInd w:val="0"/>
        <w:snapToGrid w:val="0"/>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注：贵单位收到本投标邀请书后，无论是否参与本次投标，均请于</w:t>
      </w:r>
      <w:r>
        <w:rPr>
          <w:rFonts w:asciiTheme="minorEastAsia" w:hAnsiTheme="minorEastAsia" w:eastAsiaTheme="minorEastAsia"/>
          <w:szCs w:val="24"/>
          <w:highlight w:val="yellow"/>
          <w:u w:val="single"/>
        </w:rPr>
        <w:t>2025年</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highlight w:val="yellow"/>
          <w:u w:val="single"/>
        </w:rPr>
        <w:t xml:space="preserve"> 月 </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highlight w:val="yellow"/>
          <w:u w:val="single"/>
        </w:rPr>
        <w:t>日</w:t>
      </w:r>
      <w:r>
        <w:rPr>
          <w:rFonts w:hint="eastAsia" w:asciiTheme="minorEastAsia" w:hAnsiTheme="minorEastAsia" w:eastAsiaTheme="minorEastAsia"/>
          <w:szCs w:val="24"/>
          <w:highlight w:val="yellow"/>
          <w:u w:val="single"/>
          <w:lang w:val="en-US" w:eastAsia="zh-CN"/>
        </w:rPr>
        <w:t>X</w:t>
      </w:r>
      <w:r>
        <w:rPr>
          <w:rFonts w:hint="eastAsia" w:asciiTheme="minorEastAsia" w:hAnsiTheme="minorEastAsia" w:eastAsiaTheme="minorEastAsia"/>
          <w:szCs w:val="24"/>
        </w:rPr>
        <w:t>时前，以书面形式回函确认。回函请扫描后发至邮箱,谢谢合作！</w:t>
      </w:r>
    </w:p>
    <w:p w14:paraId="267996D5">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p>
    <w:p w14:paraId="02743CC1">
      <w:pPr>
        <w:adjustRightInd w:val="0"/>
        <w:snapToGrid w:val="0"/>
        <w:spacing w:line="360" w:lineRule="auto"/>
        <w:ind w:firstLine="480" w:firstLineChars="200"/>
        <w:jc w:val="right"/>
        <w:rPr>
          <w:rFonts w:hint="default" w:asciiTheme="minorEastAsia" w:hAnsiTheme="minorEastAsia" w:eastAsiaTheme="minorEastAsia"/>
          <w:szCs w:val="24"/>
          <w:lang w:val="en-US" w:eastAsia="zh-CN"/>
        </w:rPr>
      </w:pPr>
      <w:r>
        <w:rPr>
          <w:rFonts w:hint="eastAsia" w:asciiTheme="minorEastAsia" w:hAnsiTheme="minorEastAsia" w:eastAsiaTheme="minorEastAsia"/>
          <w:szCs w:val="24"/>
        </w:rPr>
        <w:t xml:space="preserve"> 招标单位名称：</w:t>
      </w:r>
      <w:r>
        <w:rPr>
          <w:rFonts w:hint="eastAsia" w:asciiTheme="minorEastAsia" w:hAnsiTheme="minorEastAsia" w:eastAsiaTheme="minorEastAsia"/>
          <w:szCs w:val="24"/>
          <w:lang w:val="en-US" w:eastAsia="zh-CN"/>
        </w:rPr>
        <w:t>中天国富证券有限公司</w:t>
      </w:r>
    </w:p>
    <w:p w14:paraId="03AE3FAC">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w:t>
      </w:r>
      <w:r>
        <w:rPr>
          <w:rFonts w:hint="eastAsia" w:asciiTheme="minorEastAsia" w:hAnsiTheme="minorEastAsia" w:eastAsiaTheme="minorEastAsia"/>
          <w:szCs w:val="24"/>
          <w:lang w:val="en-US" w:eastAsia="zh-CN"/>
        </w:rPr>
        <w:t>2025</w:t>
      </w:r>
      <w:r>
        <w:rPr>
          <w:rFonts w:hint="eastAsia" w:asciiTheme="minorEastAsia" w:hAnsiTheme="minorEastAsia" w:eastAsiaTheme="minorEastAsia"/>
          <w:szCs w:val="24"/>
        </w:rPr>
        <w:t xml:space="preserve"> 年 </w:t>
      </w:r>
      <w:r>
        <w:rPr>
          <w:rFonts w:hint="eastAsia" w:asciiTheme="minorEastAsia" w:hAnsiTheme="minorEastAsia" w:eastAsiaTheme="minorEastAsia"/>
          <w:szCs w:val="24"/>
          <w:lang w:val="en-US" w:eastAsia="zh-CN"/>
        </w:rPr>
        <w:t>X</w:t>
      </w:r>
      <w:r>
        <w:rPr>
          <w:rFonts w:hint="eastAsia" w:asciiTheme="minorEastAsia" w:hAnsiTheme="minorEastAsia" w:eastAsiaTheme="minorEastAsia"/>
          <w:szCs w:val="24"/>
        </w:rPr>
        <w:t xml:space="preserve">  月 </w:t>
      </w:r>
      <w:r>
        <w:rPr>
          <w:rFonts w:hint="eastAsia" w:asciiTheme="minorEastAsia" w:hAnsiTheme="minorEastAsia" w:eastAsiaTheme="minorEastAsia"/>
          <w:szCs w:val="24"/>
          <w:lang w:val="en-US" w:eastAsia="zh-CN"/>
        </w:rPr>
        <w:t>X</w:t>
      </w:r>
      <w:r>
        <w:rPr>
          <w:rFonts w:hint="eastAsia" w:asciiTheme="minorEastAsia" w:hAnsiTheme="minorEastAsia" w:eastAsiaTheme="minorEastAsia"/>
          <w:szCs w:val="24"/>
        </w:rPr>
        <w:t xml:space="preserve">  日</w:t>
      </w:r>
    </w:p>
    <w:p w14:paraId="4C473057">
      <w:pPr>
        <w:adjustRightInd w:val="0"/>
        <w:snapToGrid w:val="0"/>
        <w:spacing w:line="360" w:lineRule="auto"/>
        <w:ind w:firstLine="480" w:firstLineChars="200"/>
        <w:rPr>
          <w:rFonts w:hint="eastAsia" w:asciiTheme="minorEastAsia" w:hAnsiTheme="minorEastAsia" w:eastAsiaTheme="minorEastAsia"/>
          <w:szCs w:val="24"/>
        </w:rPr>
      </w:pPr>
    </w:p>
    <w:p w14:paraId="46DB6239">
      <w:pPr>
        <w:snapToGrid w:val="0"/>
        <w:spacing w:line="360" w:lineRule="auto"/>
        <w:rPr>
          <w:rFonts w:hint="eastAsia" w:asciiTheme="minorEastAsia" w:hAnsiTheme="minorEastAsia" w:eastAsiaTheme="minorEastAsia"/>
          <w:snapToGrid w:val="0"/>
          <w:szCs w:val="24"/>
        </w:rPr>
      </w:pPr>
      <w:r>
        <w:rPr>
          <w:rFonts w:hint="eastAsia" w:asciiTheme="minorEastAsia" w:hAnsiTheme="minorEastAsia"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62230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2pt;height:0pt;width:490pt;z-index:251659264;mso-width-relative:page;mso-height-relative:page;" filled="f" stroked="t" coordsize="21600,21600" o:gfxdata="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IAA0gAAAAQB&#10;AAAPAAAAAAAAAAEAIAAAACIAAABkcnMvZG93bnJldi54bWxQSwECFAAUAAAACACHTuJAlhXE6ugB&#10;AAC4AwAADgAAAAAAAAABACAAAAAhAQAAZHJzL2Uyb0RvYy54bWxQSwUGAAAAAAYABgBZAQAAewUA&#10;AAAA&#10;">
                <v:fill on="f" focussize="0,0"/>
                <v:stroke color="#000000" joinstyle="round"/>
                <v:imagedata o:title=""/>
                <o:lock v:ext="edit" aspectratio="f"/>
              </v:line>
            </w:pict>
          </mc:Fallback>
        </mc:AlternateContent>
      </w:r>
      <w:r>
        <w:rPr>
          <w:rFonts w:hint="eastAsia" w:asciiTheme="minorEastAsia" w:hAnsiTheme="minorEastAsia" w:eastAsiaTheme="minorEastAsia"/>
          <w:snapToGrid w:val="0"/>
          <w:szCs w:val="24"/>
        </w:rPr>
        <w:t xml:space="preserve">附： </w:t>
      </w:r>
    </w:p>
    <w:p w14:paraId="537EBEA4">
      <w:pPr>
        <w:snapToGrid w:val="0"/>
        <w:spacing w:line="360" w:lineRule="auto"/>
        <w:jc w:val="center"/>
        <w:rPr>
          <w:rFonts w:hint="eastAsia" w:asciiTheme="minorEastAsia" w:hAnsiTheme="minorEastAsia" w:eastAsiaTheme="minorEastAsia"/>
          <w:b/>
          <w:snapToGrid w:val="0"/>
          <w:szCs w:val="24"/>
        </w:rPr>
      </w:pPr>
      <w:r>
        <w:rPr>
          <w:rFonts w:hint="eastAsia" w:asciiTheme="minorEastAsia" w:hAnsiTheme="minorEastAsia" w:eastAsiaTheme="minorEastAsia"/>
          <w:b/>
          <w:snapToGrid w:val="0"/>
          <w:szCs w:val="24"/>
        </w:rPr>
        <w:t>回    函</w:t>
      </w:r>
    </w:p>
    <w:p w14:paraId="37AFBF27">
      <w:pPr>
        <w:pStyle w:val="33"/>
        <w:spacing w:line="360" w:lineRule="auto"/>
        <w:ind w:firstLine="0" w:firstLineChars="0"/>
        <w:rPr>
          <w:rFonts w:hint="eastAsia" w:ascii="宋体" w:hAnsi="宋体" w:cs="宋体"/>
          <w:szCs w:val="24"/>
        </w:rPr>
      </w:pPr>
      <w:r>
        <w:rPr>
          <w:rFonts w:hint="eastAsia" w:asciiTheme="minorEastAsia" w:hAnsiTheme="minorEastAsia" w:eastAsiaTheme="minorEastAsia"/>
          <w:szCs w:val="24"/>
          <w:u w:val="single"/>
        </w:rPr>
        <w:t>中天国富证券有限公司</w:t>
      </w:r>
      <w:r>
        <w:rPr>
          <w:rFonts w:hint="eastAsia" w:asciiTheme="minorEastAsia" w:hAnsiTheme="minorEastAsia" w:eastAsiaTheme="minorEastAsia"/>
          <w:snapToGrid w:val="0"/>
          <w:szCs w:val="24"/>
        </w:rPr>
        <w:t>：</w:t>
      </w:r>
    </w:p>
    <w:p w14:paraId="7A3CF38B">
      <w:pPr>
        <w:snapToGrid w:val="0"/>
        <w:spacing w:line="360" w:lineRule="auto"/>
        <w:ind w:firstLine="480" w:firstLineChars="200"/>
        <w:rPr>
          <w:rFonts w:hint="eastAsia" w:asciiTheme="minorEastAsia" w:hAnsiTheme="minorEastAsia" w:eastAsiaTheme="minorEastAsia"/>
          <w:snapToGrid w:val="0"/>
          <w:szCs w:val="24"/>
        </w:rPr>
      </w:pPr>
      <w:r>
        <w:rPr>
          <w:rFonts w:hint="eastAsia" w:asciiTheme="minorEastAsia" w:hAnsiTheme="minorEastAsia" w:eastAsiaTheme="minorEastAsia"/>
          <w:snapToGrid w:val="0"/>
          <w:szCs w:val="24"/>
        </w:rPr>
        <w:t>我单位已于  年月日收到贵单位关于</w:t>
      </w:r>
      <w:r>
        <w:rPr>
          <w:rFonts w:hint="eastAsia" w:asciiTheme="minorEastAsia" w:hAnsiTheme="minorEastAsia" w:eastAsiaTheme="minorEastAsia"/>
          <w:szCs w:val="24"/>
          <w:u w:val="single"/>
        </w:rPr>
        <w:t xml:space="preserve">中天国富公司总部和分支机构上网行为管理设备更新项目 </w:t>
      </w:r>
      <w:r>
        <w:rPr>
          <w:rFonts w:hint="eastAsia" w:asciiTheme="minorEastAsia" w:hAnsiTheme="minorEastAsia" w:eastAsiaTheme="minorEastAsia"/>
          <w:snapToGrid w:val="0"/>
          <w:szCs w:val="24"/>
        </w:rPr>
        <w:t>项目的投标邀请书，经我单位研究决定（请填写参与或不参与）本次投标，并授权（联系人/联系电话）的（邮箱）为此次招标电子版资料和招标答疑回复文件的接收邮箱，特此确认。</w:t>
      </w:r>
    </w:p>
    <w:p w14:paraId="488A2A5A">
      <w:pPr>
        <w:snapToGrid w:val="0"/>
        <w:spacing w:line="360" w:lineRule="auto"/>
        <w:ind w:firstLine="555"/>
        <w:jc w:val="right"/>
        <w:rPr>
          <w:rFonts w:hint="eastAsia" w:asciiTheme="minorEastAsia" w:hAnsiTheme="minorEastAsia" w:eastAsiaTheme="minorEastAsia"/>
          <w:snapToGrid w:val="0"/>
          <w:szCs w:val="24"/>
        </w:rPr>
      </w:pPr>
      <w:r>
        <w:rPr>
          <w:rFonts w:hint="eastAsia" w:asciiTheme="minorEastAsia" w:hAnsiTheme="minorEastAsia" w:eastAsiaTheme="minorEastAsia"/>
          <w:snapToGrid w:val="0"/>
          <w:szCs w:val="24"/>
        </w:rPr>
        <w:t xml:space="preserve"> 投标单位名称（加盖公章）：                  </w:t>
      </w:r>
    </w:p>
    <w:p w14:paraId="2B269CFF">
      <w:pPr>
        <w:adjustRightInd w:val="0"/>
        <w:snapToGrid w:val="0"/>
        <w:spacing w:line="360" w:lineRule="auto"/>
        <w:ind w:firstLine="480" w:firstLineChars="200"/>
        <w:jc w:val="right"/>
        <w:rPr>
          <w:rFonts w:hint="eastAsia" w:asciiTheme="minorEastAsia" w:hAnsiTheme="minorEastAsia" w:eastAsiaTheme="minorEastAsia"/>
          <w:szCs w:val="24"/>
        </w:rPr>
      </w:pPr>
      <w:r>
        <w:rPr>
          <w:rFonts w:hint="eastAsia" w:asciiTheme="minorEastAsia" w:hAnsiTheme="minorEastAsia" w:eastAsiaTheme="minorEastAsia"/>
          <w:szCs w:val="24"/>
        </w:rPr>
        <w:t xml:space="preserve">                    日期：   年    月    日</w:t>
      </w:r>
    </w:p>
    <w:p w14:paraId="1462E743">
      <w:pPr>
        <w:pStyle w:val="33"/>
        <w:spacing w:line="360" w:lineRule="auto"/>
        <w:ind w:firstLine="0" w:firstLineChars="0"/>
        <w:rPr>
          <w:rFonts w:hint="eastAsia" w:asciiTheme="minorEastAsia" w:hAnsiTheme="minorEastAsia" w:eastAsiaTheme="minorEastAsia"/>
          <w:szCs w:val="24"/>
        </w:rPr>
      </w:pPr>
    </w:p>
    <w:p w14:paraId="28E94FF3">
      <w:pPr>
        <w:pStyle w:val="2"/>
        <w:numPr>
          <w:ilvl w:val="0"/>
          <w:numId w:val="1"/>
        </w:numPr>
        <w:spacing w:line="360" w:lineRule="auto"/>
        <w:rPr>
          <w:rFonts w:hint="eastAsia" w:ascii="宋体" w:hAnsi="宋体"/>
          <w:sz w:val="24"/>
          <w:szCs w:val="24"/>
        </w:rPr>
      </w:pPr>
      <w:bookmarkStart w:id="3" w:name="_Toc157590062"/>
      <w:r>
        <w:rPr>
          <w:rFonts w:hint="eastAsia" w:ascii="宋体" w:hAnsi="宋体"/>
          <w:sz w:val="24"/>
          <w:szCs w:val="24"/>
        </w:rPr>
        <w:t>招标项目</w:t>
      </w:r>
      <w:bookmarkEnd w:id="3"/>
    </w:p>
    <w:p w14:paraId="6015514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中天国富公司总部和分支机构上网行为管理设备更新项目</w:t>
      </w:r>
    </w:p>
    <w:p w14:paraId="50EEF35E">
      <w:pPr>
        <w:pStyle w:val="3"/>
        <w:numPr>
          <w:ilvl w:val="1"/>
          <w:numId w:val="1"/>
        </w:num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招标人简介</w:t>
      </w:r>
    </w:p>
    <w:p w14:paraId="32842417">
      <w:pPr>
        <w:spacing w:line="360" w:lineRule="auto"/>
        <w:ind w:firstLine="480" w:firstLineChars="200"/>
        <w:rPr>
          <w:rFonts w:hint="eastAsia" w:ascii="Arial" w:hAnsi="Arial" w:cs="Arial"/>
          <w:color w:val="333333"/>
          <w:shd w:val="clear" w:color="auto" w:fill="FFFFFF"/>
        </w:rPr>
      </w:pPr>
      <w:r>
        <w:rPr>
          <w:rFonts w:hint="eastAsia" w:ascii="Arial" w:hAnsi="Arial" w:cs="Arial"/>
          <w:color w:val="333333"/>
          <w:shd w:val="clear" w:color="auto" w:fill="FFFFFF"/>
        </w:rPr>
        <w:t>中天国富证券（下称“公司”）成立于 2004 年，由中天金融集团股份有限公司（000540.SZ）控股，以贵阳、深圳、上海、北京为核心设立15家分公司，并下设深圳市中天佳汇股权投资管理有限公司、贵阳中天佳创投资有限公司两家全资子公司。公司业务涵盖证券承销与保荐、证券经纪和证券自营，依托不断完善的综合业务服务体系，为中小企业和高净值客户提供全方位服务。</w:t>
      </w:r>
    </w:p>
    <w:p w14:paraId="44EBA29E">
      <w:pPr>
        <w:spacing w:line="360" w:lineRule="auto"/>
        <w:ind w:firstLine="480" w:firstLineChars="200"/>
        <w:rPr>
          <w:rFonts w:hint="eastAsia" w:asciiTheme="minorEastAsia" w:hAnsiTheme="minorEastAsia" w:eastAsiaTheme="minorEastAsia"/>
          <w:szCs w:val="24"/>
        </w:rPr>
      </w:pPr>
      <w:r>
        <w:rPr>
          <w:rFonts w:hint="eastAsia" w:ascii="Arial" w:hAnsi="Arial" w:cs="Arial"/>
          <w:color w:val="333333"/>
          <w:shd w:val="clear" w:color="auto" w:fill="FFFFFF"/>
        </w:rPr>
        <w:t>公司聚焦主业，投行、投资业务持续发力，收入规模持续增长，市场影响力进一步增强。公司坚持“优先发展、创新发展、协同发展、精细化发展”四大战略，坚持“创造价值、分享价值”的核心价值理念，坚定不移的做大做强做精投行这一支柱业务，积极推动“投行+”业务模式，不断丰富业务线，践行研究驱动投资的投资理念，努力提高公司综合业务及服务能力，逐步推动公司迈入行业一线梯队，使公司成为股东满意、客户信赖、社会尊重、员工自豪的国内知名的特色精品券商。</w:t>
      </w:r>
    </w:p>
    <w:p w14:paraId="47A9EE82">
      <w:pPr>
        <w:pStyle w:val="3"/>
        <w:numPr>
          <w:ilvl w:val="1"/>
          <w:numId w:val="1"/>
        </w:numPr>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方案简介</w:t>
      </w:r>
    </w:p>
    <w:p w14:paraId="2AEA89BE">
      <w:pPr>
        <w:spacing w:line="360" w:lineRule="auto"/>
        <w:ind w:firstLine="480" w:firstLineChars="200"/>
        <w:rPr>
          <w:rFonts w:hint="eastAsia" w:asciiTheme="minorEastAsia" w:hAnsiTheme="minorEastAsia" w:eastAsiaTheme="minorEastAsia"/>
          <w:szCs w:val="24"/>
        </w:rPr>
      </w:pPr>
      <w:r>
        <w:rPr>
          <w:rFonts w:hint="eastAsia" w:ascii="宋体" w:hAnsi="宋体" w:cs="仿宋"/>
          <w:szCs w:val="21"/>
        </w:rPr>
        <w:t>本次更换范围为15家分支机构+深圳储能大厦职场+贵阳北七塔职场的34台上网行为管理设备和深圳、贵阳总部IDC的4台IPSEC VPN接入防火墙。本项目与中标供应商签订框架合同，实际采购数量以采购时点中天国富证券提供的采购数量为准。</w:t>
      </w:r>
    </w:p>
    <w:p w14:paraId="241E1868">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招标需求及</w:t>
      </w:r>
      <w:r>
        <w:rPr>
          <w:rFonts w:asciiTheme="minorEastAsia" w:hAnsiTheme="minorEastAsia" w:eastAsiaTheme="minorEastAsia"/>
          <w:sz w:val="24"/>
          <w:szCs w:val="24"/>
        </w:rPr>
        <w:t>范围</w:t>
      </w:r>
    </w:p>
    <w:p w14:paraId="17F78972">
      <w:pPr>
        <w:spacing w:line="360" w:lineRule="auto"/>
        <w:ind w:firstLine="480" w:firstLineChars="200"/>
        <w:rPr>
          <w:rFonts w:hint="eastAsia" w:asciiTheme="minorEastAsia" w:hAnsiTheme="minorEastAsia" w:eastAsiaTheme="minorEastAsia"/>
          <w:szCs w:val="24"/>
        </w:rPr>
      </w:pPr>
      <w:r>
        <w:rPr>
          <w:rFonts w:hint="eastAsia" w:ascii="宋体" w:hAnsi="宋体" w:cs="仿宋"/>
          <w:szCs w:val="21"/>
        </w:rPr>
        <w:t>本次更换范围为15家分支机构+深圳储能大厦职场+贵阳北七塔职场的34台上网行为管理设备和深圳、贵阳总部IDC的4台IPSEC VPN接入防火墙。</w:t>
      </w:r>
      <w:r>
        <w:rPr>
          <w:rFonts w:hint="eastAsia" w:asciiTheme="minorEastAsia" w:hAnsiTheme="minorEastAsia" w:eastAsiaTheme="minorEastAsia"/>
          <w:szCs w:val="24"/>
        </w:rPr>
        <w:t>并包含对旧设备进行替换的项目集成服务；本项目采购网络设备电源要求冗余，设备要求5年维保，</w:t>
      </w:r>
      <w:r>
        <w:rPr>
          <w:rFonts w:hint="eastAsia" w:asciiTheme="minorEastAsia" w:hAnsiTheme="minorEastAsia" w:eastAsiaTheme="minorEastAsia"/>
          <w:szCs w:val="24"/>
          <w:highlight w:val="yellow"/>
        </w:rPr>
        <w:t>要求原厂实施</w:t>
      </w:r>
      <w:r>
        <w:rPr>
          <w:rFonts w:hint="eastAsia" w:asciiTheme="minorEastAsia" w:hAnsiTheme="minorEastAsia" w:eastAsiaTheme="minorEastAsia"/>
          <w:szCs w:val="24"/>
        </w:rPr>
        <w:t>，并提供项目实施所需网线。</w:t>
      </w:r>
    </w:p>
    <w:tbl>
      <w:tblPr>
        <w:tblStyle w:val="19"/>
        <w:tblW w:w="5000" w:type="pct"/>
        <w:tblInd w:w="0" w:type="dxa"/>
        <w:tblLayout w:type="autofit"/>
        <w:tblCellMar>
          <w:top w:w="0" w:type="dxa"/>
          <w:left w:w="108" w:type="dxa"/>
          <w:bottom w:w="0" w:type="dxa"/>
          <w:right w:w="108" w:type="dxa"/>
        </w:tblCellMar>
      </w:tblPr>
      <w:tblGrid>
        <w:gridCol w:w="538"/>
        <w:gridCol w:w="2943"/>
        <w:gridCol w:w="1499"/>
        <w:gridCol w:w="1182"/>
        <w:gridCol w:w="1499"/>
        <w:gridCol w:w="861"/>
      </w:tblGrid>
      <w:tr w14:paraId="3D9B8FF0">
        <w:tblPrEx>
          <w:tblCellMar>
            <w:top w:w="0" w:type="dxa"/>
            <w:left w:w="108" w:type="dxa"/>
            <w:bottom w:w="0" w:type="dxa"/>
            <w:right w:w="108" w:type="dxa"/>
          </w:tblCellMar>
        </w:tblPrEx>
        <w:trPr>
          <w:trHeight w:val="288" w:hRule="atLeast"/>
        </w:trPr>
        <w:tc>
          <w:tcPr>
            <w:tcW w:w="3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9B239">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序号</w:t>
            </w:r>
          </w:p>
        </w:tc>
        <w:tc>
          <w:tcPr>
            <w:tcW w:w="1410" w:type="pct"/>
            <w:tcBorders>
              <w:top w:val="single" w:color="auto" w:sz="4" w:space="0"/>
              <w:left w:val="nil"/>
              <w:bottom w:val="single" w:color="auto" w:sz="4" w:space="0"/>
              <w:right w:val="single" w:color="auto" w:sz="4" w:space="0"/>
            </w:tcBorders>
            <w:shd w:val="clear" w:color="auto" w:fill="auto"/>
            <w:noWrap/>
            <w:vAlign w:val="center"/>
          </w:tcPr>
          <w:p w14:paraId="57C5A765">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机房</w:t>
            </w:r>
          </w:p>
        </w:tc>
        <w:tc>
          <w:tcPr>
            <w:tcW w:w="1196" w:type="pct"/>
            <w:tcBorders>
              <w:top w:val="single" w:color="auto" w:sz="4" w:space="0"/>
              <w:left w:val="nil"/>
              <w:bottom w:val="single" w:color="auto" w:sz="4" w:space="0"/>
              <w:right w:val="single" w:color="auto" w:sz="4" w:space="0"/>
            </w:tcBorders>
            <w:shd w:val="clear" w:color="auto" w:fill="auto"/>
            <w:noWrap/>
            <w:vAlign w:val="center"/>
          </w:tcPr>
          <w:p w14:paraId="52CE9596">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设备类型</w:t>
            </w:r>
          </w:p>
        </w:tc>
        <w:tc>
          <w:tcPr>
            <w:tcW w:w="693" w:type="pct"/>
            <w:tcBorders>
              <w:top w:val="single" w:color="auto" w:sz="4" w:space="0"/>
              <w:left w:val="nil"/>
              <w:bottom w:val="single" w:color="auto" w:sz="4" w:space="0"/>
              <w:right w:val="single" w:color="auto" w:sz="4" w:space="0"/>
            </w:tcBorders>
            <w:shd w:val="clear" w:color="auto" w:fill="auto"/>
            <w:noWrap/>
            <w:vAlign w:val="center"/>
          </w:tcPr>
          <w:p w14:paraId="64ECFB25">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现网设备型号</w:t>
            </w:r>
          </w:p>
        </w:tc>
        <w:tc>
          <w:tcPr>
            <w:tcW w:w="879" w:type="pct"/>
            <w:tcBorders>
              <w:top w:val="single" w:color="auto" w:sz="4" w:space="0"/>
              <w:left w:val="nil"/>
              <w:bottom w:val="single" w:color="auto" w:sz="4" w:space="0"/>
              <w:right w:val="single" w:color="auto" w:sz="4" w:space="0"/>
            </w:tcBorders>
            <w:shd w:val="clear" w:color="auto" w:fill="auto"/>
            <w:noWrap/>
            <w:vAlign w:val="center"/>
          </w:tcPr>
          <w:p w14:paraId="056B6D26">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升级后设备类型</w:t>
            </w:r>
          </w:p>
        </w:tc>
        <w:tc>
          <w:tcPr>
            <w:tcW w:w="505" w:type="pct"/>
            <w:tcBorders>
              <w:top w:val="single" w:color="auto" w:sz="4" w:space="0"/>
              <w:left w:val="nil"/>
              <w:bottom w:val="single" w:color="auto" w:sz="4" w:space="0"/>
              <w:right w:val="single" w:color="auto" w:sz="4" w:space="0"/>
            </w:tcBorders>
            <w:shd w:val="clear" w:color="auto" w:fill="auto"/>
            <w:noWrap/>
            <w:vAlign w:val="center"/>
          </w:tcPr>
          <w:p w14:paraId="54A8D6F0">
            <w:pPr>
              <w:widowControl/>
              <w:jc w:val="center"/>
              <w:rPr>
                <w:rFonts w:hint="eastAsia" w:ascii="宋体" w:hAnsi="宋体" w:cs="宋体"/>
                <w:b/>
                <w:bCs/>
                <w:color w:val="000000"/>
                <w:kern w:val="0"/>
                <w:szCs w:val="24"/>
              </w:rPr>
            </w:pPr>
            <w:r>
              <w:rPr>
                <w:rFonts w:hint="eastAsia" w:ascii="宋体" w:hAnsi="宋体" w:cs="宋体"/>
                <w:b/>
                <w:bCs/>
                <w:color w:val="000000"/>
                <w:kern w:val="0"/>
                <w:szCs w:val="24"/>
              </w:rPr>
              <w:t>采购数量</w:t>
            </w:r>
          </w:p>
        </w:tc>
      </w:tr>
      <w:tr w14:paraId="5F236D13">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0352D62">
            <w:pPr>
              <w:widowControl/>
              <w:jc w:val="center"/>
              <w:rPr>
                <w:rFonts w:hint="eastAsia" w:ascii="宋体" w:hAnsi="宋体" w:cs="仿宋"/>
                <w:szCs w:val="21"/>
              </w:rPr>
            </w:pPr>
            <w:r>
              <w:rPr>
                <w:rFonts w:hint="eastAsia" w:ascii="宋体" w:hAnsi="宋体" w:cs="仿宋"/>
                <w:szCs w:val="21"/>
              </w:rPr>
              <w:t>1</w:t>
            </w:r>
          </w:p>
        </w:tc>
        <w:tc>
          <w:tcPr>
            <w:tcW w:w="1410" w:type="pct"/>
            <w:tcBorders>
              <w:top w:val="nil"/>
              <w:left w:val="nil"/>
              <w:bottom w:val="single" w:color="auto" w:sz="4" w:space="0"/>
              <w:right w:val="single" w:color="auto" w:sz="4" w:space="0"/>
            </w:tcBorders>
            <w:shd w:val="clear" w:color="auto" w:fill="auto"/>
            <w:noWrap/>
            <w:vAlign w:val="center"/>
          </w:tcPr>
          <w:p w14:paraId="3DC294B2">
            <w:pPr>
              <w:widowControl/>
              <w:jc w:val="center"/>
              <w:rPr>
                <w:rFonts w:hint="eastAsia" w:ascii="宋体" w:hAnsi="宋体" w:cs="仿宋"/>
                <w:szCs w:val="21"/>
              </w:rPr>
            </w:pPr>
            <w:r>
              <w:rPr>
                <w:rFonts w:hint="eastAsia" w:ascii="宋体" w:hAnsi="宋体" w:cs="仿宋"/>
                <w:szCs w:val="21"/>
              </w:rPr>
              <w:t>深圳机房</w:t>
            </w:r>
          </w:p>
        </w:tc>
        <w:tc>
          <w:tcPr>
            <w:tcW w:w="1196" w:type="pct"/>
            <w:tcBorders>
              <w:top w:val="nil"/>
              <w:left w:val="nil"/>
              <w:bottom w:val="single" w:color="auto" w:sz="4" w:space="0"/>
              <w:right w:val="single" w:color="auto" w:sz="4" w:space="0"/>
            </w:tcBorders>
            <w:shd w:val="clear" w:color="auto" w:fill="auto"/>
            <w:noWrap/>
            <w:vAlign w:val="center"/>
          </w:tcPr>
          <w:p w14:paraId="7C33504B">
            <w:pPr>
              <w:widowControl/>
              <w:jc w:val="center"/>
              <w:rPr>
                <w:rFonts w:hint="eastAsia" w:ascii="宋体" w:hAnsi="宋体" w:cs="仿宋"/>
                <w:szCs w:val="21"/>
              </w:rPr>
            </w:pPr>
            <w:r>
              <w:rPr>
                <w:rFonts w:hint="eastAsia" w:ascii="宋体" w:hAnsi="宋体" w:cs="仿宋"/>
                <w:szCs w:val="21"/>
              </w:rPr>
              <w:t>防火墙</w:t>
            </w:r>
          </w:p>
        </w:tc>
        <w:tc>
          <w:tcPr>
            <w:tcW w:w="693" w:type="pct"/>
            <w:tcBorders>
              <w:top w:val="nil"/>
              <w:left w:val="nil"/>
              <w:bottom w:val="single" w:color="auto" w:sz="4" w:space="0"/>
              <w:right w:val="single" w:color="auto" w:sz="4" w:space="0"/>
            </w:tcBorders>
            <w:shd w:val="clear" w:color="auto" w:fill="auto"/>
            <w:noWrap/>
            <w:vAlign w:val="center"/>
          </w:tcPr>
          <w:p w14:paraId="76BB0EC1">
            <w:pPr>
              <w:widowControl/>
              <w:jc w:val="center"/>
              <w:rPr>
                <w:rFonts w:hint="eastAsia" w:ascii="宋体" w:hAnsi="宋体" w:cs="仿宋"/>
                <w:szCs w:val="21"/>
              </w:rPr>
            </w:pPr>
            <w:r>
              <w:rPr>
                <w:rFonts w:hint="eastAsia" w:ascii="宋体" w:hAnsi="宋体" w:cs="仿宋"/>
                <w:szCs w:val="21"/>
              </w:rPr>
              <w:t>AF-1000-G640</w:t>
            </w:r>
          </w:p>
        </w:tc>
        <w:tc>
          <w:tcPr>
            <w:tcW w:w="879" w:type="pct"/>
            <w:tcBorders>
              <w:top w:val="nil"/>
              <w:left w:val="nil"/>
              <w:bottom w:val="single" w:color="auto" w:sz="4" w:space="0"/>
              <w:right w:val="single" w:color="auto" w:sz="4" w:space="0"/>
            </w:tcBorders>
            <w:shd w:val="clear" w:color="auto" w:fill="auto"/>
            <w:noWrap/>
            <w:vAlign w:val="center"/>
          </w:tcPr>
          <w:p w14:paraId="14BDD42C">
            <w:pPr>
              <w:widowControl/>
              <w:jc w:val="center"/>
              <w:rPr>
                <w:rFonts w:hint="eastAsia" w:ascii="宋体" w:hAnsi="宋体" w:cs="仿宋"/>
                <w:szCs w:val="21"/>
              </w:rPr>
            </w:pPr>
            <w:r>
              <w:rPr>
                <w:rFonts w:hint="eastAsia" w:ascii="宋体" w:hAnsi="宋体" w:cs="仿宋"/>
                <w:szCs w:val="21"/>
              </w:rPr>
              <w:t>千兆防火墙</w:t>
            </w:r>
          </w:p>
        </w:tc>
        <w:tc>
          <w:tcPr>
            <w:tcW w:w="505" w:type="pct"/>
            <w:tcBorders>
              <w:top w:val="nil"/>
              <w:left w:val="nil"/>
              <w:bottom w:val="single" w:color="auto" w:sz="4" w:space="0"/>
              <w:right w:val="single" w:color="auto" w:sz="4" w:space="0"/>
            </w:tcBorders>
            <w:shd w:val="clear" w:color="auto" w:fill="auto"/>
            <w:noWrap/>
            <w:vAlign w:val="center"/>
          </w:tcPr>
          <w:p w14:paraId="791244FA">
            <w:pPr>
              <w:widowControl/>
              <w:jc w:val="center"/>
              <w:rPr>
                <w:rFonts w:hint="eastAsia" w:ascii="宋体" w:hAnsi="宋体" w:cs="仿宋"/>
                <w:szCs w:val="21"/>
              </w:rPr>
            </w:pPr>
            <w:r>
              <w:rPr>
                <w:rFonts w:hint="eastAsia" w:ascii="宋体" w:hAnsi="宋体" w:cs="仿宋"/>
                <w:szCs w:val="21"/>
              </w:rPr>
              <w:t>2</w:t>
            </w:r>
          </w:p>
        </w:tc>
      </w:tr>
      <w:tr w14:paraId="0FC7B3DD">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5D31CC2B">
            <w:pPr>
              <w:widowControl/>
              <w:jc w:val="center"/>
              <w:rPr>
                <w:rFonts w:hint="eastAsia" w:ascii="宋体" w:hAnsi="宋体" w:cs="仿宋"/>
                <w:szCs w:val="21"/>
              </w:rPr>
            </w:pPr>
            <w:r>
              <w:rPr>
                <w:rFonts w:hint="eastAsia" w:ascii="宋体" w:hAnsi="宋体" w:cs="仿宋"/>
                <w:szCs w:val="21"/>
              </w:rPr>
              <w:t>2</w:t>
            </w:r>
          </w:p>
        </w:tc>
        <w:tc>
          <w:tcPr>
            <w:tcW w:w="1410" w:type="pct"/>
            <w:tcBorders>
              <w:top w:val="nil"/>
              <w:left w:val="nil"/>
              <w:bottom w:val="single" w:color="auto" w:sz="4" w:space="0"/>
              <w:right w:val="single" w:color="auto" w:sz="4" w:space="0"/>
            </w:tcBorders>
            <w:shd w:val="clear" w:color="auto" w:fill="auto"/>
            <w:noWrap/>
            <w:vAlign w:val="center"/>
          </w:tcPr>
          <w:p w14:paraId="1DEA47B2">
            <w:pPr>
              <w:widowControl/>
              <w:jc w:val="center"/>
              <w:rPr>
                <w:rFonts w:hint="eastAsia" w:ascii="宋体" w:hAnsi="宋体" w:cs="仿宋"/>
                <w:szCs w:val="21"/>
              </w:rPr>
            </w:pPr>
            <w:r>
              <w:rPr>
                <w:rFonts w:hint="eastAsia" w:ascii="宋体" w:hAnsi="宋体" w:cs="仿宋"/>
                <w:szCs w:val="21"/>
              </w:rPr>
              <w:t>贵阳机房</w:t>
            </w:r>
          </w:p>
        </w:tc>
        <w:tc>
          <w:tcPr>
            <w:tcW w:w="1196" w:type="pct"/>
            <w:tcBorders>
              <w:top w:val="nil"/>
              <w:left w:val="nil"/>
              <w:bottom w:val="single" w:color="auto" w:sz="4" w:space="0"/>
              <w:right w:val="single" w:color="auto" w:sz="4" w:space="0"/>
            </w:tcBorders>
            <w:shd w:val="clear" w:color="auto" w:fill="auto"/>
            <w:noWrap/>
            <w:vAlign w:val="center"/>
          </w:tcPr>
          <w:p w14:paraId="080D4C1C">
            <w:pPr>
              <w:widowControl/>
              <w:jc w:val="center"/>
              <w:rPr>
                <w:rFonts w:hint="eastAsia" w:ascii="宋体" w:hAnsi="宋体" w:cs="仿宋"/>
                <w:szCs w:val="21"/>
              </w:rPr>
            </w:pPr>
            <w:r>
              <w:rPr>
                <w:rFonts w:hint="eastAsia" w:ascii="宋体" w:hAnsi="宋体" w:cs="仿宋"/>
                <w:szCs w:val="21"/>
              </w:rPr>
              <w:t>防火墙</w:t>
            </w:r>
          </w:p>
        </w:tc>
        <w:tc>
          <w:tcPr>
            <w:tcW w:w="693" w:type="pct"/>
            <w:tcBorders>
              <w:top w:val="nil"/>
              <w:left w:val="nil"/>
              <w:bottom w:val="single" w:color="auto" w:sz="4" w:space="0"/>
              <w:right w:val="single" w:color="auto" w:sz="4" w:space="0"/>
            </w:tcBorders>
            <w:shd w:val="clear" w:color="auto" w:fill="auto"/>
            <w:noWrap/>
            <w:vAlign w:val="center"/>
          </w:tcPr>
          <w:p w14:paraId="676046D6">
            <w:pPr>
              <w:widowControl/>
              <w:jc w:val="center"/>
              <w:rPr>
                <w:rFonts w:hint="eastAsia" w:ascii="宋体" w:hAnsi="宋体" w:cs="仿宋"/>
                <w:szCs w:val="21"/>
              </w:rPr>
            </w:pPr>
            <w:r>
              <w:rPr>
                <w:rFonts w:hint="eastAsia" w:ascii="宋体" w:hAnsi="宋体" w:cs="仿宋"/>
                <w:szCs w:val="21"/>
              </w:rPr>
              <w:t>AF-1000-G640</w:t>
            </w:r>
          </w:p>
        </w:tc>
        <w:tc>
          <w:tcPr>
            <w:tcW w:w="879" w:type="pct"/>
            <w:tcBorders>
              <w:top w:val="nil"/>
              <w:left w:val="nil"/>
              <w:bottom w:val="single" w:color="auto" w:sz="4" w:space="0"/>
              <w:right w:val="single" w:color="auto" w:sz="4" w:space="0"/>
            </w:tcBorders>
            <w:shd w:val="clear" w:color="auto" w:fill="auto"/>
            <w:noWrap/>
            <w:vAlign w:val="center"/>
          </w:tcPr>
          <w:p w14:paraId="12D0FF02">
            <w:pPr>
              <w:widowControl/>
              <w:jc w:val="center"/>
              <w:rPr>
                <w:rFonts w:hint="eastAsia" w:ascii="宋体" w:hAnsi="宋体" w:cs="仿宋"/>
                <w:szCs w:val="21"/>
              </w:rPr>
            </w:pPr>
            <w:r>
              <w:rPr>
                <w:rFonts w:hint="eastAsia" w:ascii="宋体" w:hAnsi="宋体" w:cs="仿宋"/>
                <w:szCs w:val="21"/>
              </w:rPr>
              <w:t>千兆防火墙</w:t>
            </w:r>
          </w:p>
        </w:tc>
        <w:tc>
          <w:tcPr>
            <w:tcW w:w="505" w:type="pct"/>
            <w:tcBorders>
              <w:top w:val="nil"/>
              <w:left w:val="nil"/>
              <w:bottom w:val="single" w:color="auto" w:sz="4" w:space="0"/>
              <w:right w:val="single" w:color="auto" w:sz="4" w:space="0"/>
            </w:tcBorders>
            <w:shd w:val="clear" w:color="auto" w:fill="auto"/>
            <w:noWrap/>
            <w:vAlign w:val="center"/>
          </w:tcPr>
          <w:p w14:paraId="216D6AA0">
            <w:pPr>
              <w:widowControl/>
              <w:jc w:val="center"/>
              <w:rPr>
                <w:rFonts w:hint="eastAsia" w:ascii="宋体" w:hAnsi="宋体" w:cs="仿宋"/>
                <w:szCs w:val="21"/>
              </w:rPr>
            </w:pPr>
            <w:r>
              <w:rPr>
                <w:rFonts w:hint="eastAsia" w:ascii="宋体" w:hAnsi="宋体" w:cs="仿宋"/>
                <w:szCs w:val="21"/>
              </w:rPr>
              <w:t>2</w:t>
            </w:r>
          </w:p>
        </w:tc>
      </w:tr>
      <w:tr w14:paraId="70DB61FB">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40EB70A3">
            <w:pPr>
              <w:widowControl/>
              <w:jc w:val="center"/>
              <w:rPr>
                <w:rFonts w:hint="eastAsia" w:ascii="宋体" w:hAnsi="宋体" w:cs="仿宋"/>
                <w:szCs w:val="21"/>
              </w:rPr>
            </w:pPr>
            <w:r>
              <w:rPr>
                <w:rFonts w:hint="eastAsia" w:ascii="宋体" w:hAnsi="宋体" w:cs="仿宋"/>
                <w:szCs w:val="21"/>
              </w:rPr>
              <w:t>3</w:t>
            </w:r>
          </w:p>
        </w:tc>
        <w:tc>
          <w:tcPr>
            <w:tcW w:w="1410" w:type="pct"/>
            <w:tcBorders>
              <w:top w:val="nil"/>
              <w:left w:val="nil"/>
              <w:bottom w:val="single" w:color="auto" w:sz="4" w:space="0"/>
              <w:right w:val="single" w:color="auto" w:sz="4" w:space="0"/>
            </w:tcBorders>
            <w:shd w:val="clear" w:color="auto" w:fill="auto"/>
            <w:noWrap/>
            <w:vAlign w:val="center"/>
          </w:tcPr>
          <w:p w14:paraId="0D353141">
            <w:pPr>
              <w:widowControl/>
              <w:jc w:val="center"/>
              <w:rPr>
                <w:rFonts w:hint="eastAsia" w:ascii="宋体" w:hAnsi="宋体" w:cs="仿宋"/>
                <w:szCs w:val="21"/>
              </w:rPr>
            </w:pPr>
            <w:r>
              <w:rPr>
                <w:rFonts w:hint="eastAsia" w:ascii="宋体" w:hAnsi="宋体" w:cs="仿宋"/>
                <w:szCs w:val="21"/>
              </w:rPr>
              <w:t>深圳储能大厦机房</w:t>
            </w:r>
          </w:p>
        </w:tc>
        <w:tc>
          <w:tcPr>
            <w:tcW w:w="1196" w:type="pct"/>
            <w:tcBorders>
              <w:top w:val="nil"/>
              <w:left w:val="nil"/>
              <w:bottom w:val="single" w:color="auto" w:sz="4" w:space="0"/>
              <w:right w:val="single" w:color="auto" w:sz="4" w:space="0"/>
            </w:tcBorders>
            <w:shd w:val="clear" w:color="auto" w:fill="auto"/>
            <w:noWrap/>
            <w:vAlign w:val="center"/>
          </w:tcPr>
          <w:p w14:paraId="6359E429">
            <w:pPr>
              <w:widowControl/>
              <w:jc w:val="center"/>
              <w:rPr>
                <w:rFonts w:hint="eastAsia" w:ascii="宋体" w:hAnsi="宋体" w:cs="仿宋"/>
                <w:szCs w:val="21"/>
              </w:rPr>
            </w:pPr>
            <w:r>
              <w:rPr>
                <w:rFonts w:hint="eastAsia" w:ascii="宋体" w:hAnsi="宋体" w:cs="仿宋"/>
                <w:szCs w:val="21"/>
              </w:rPr>
              <w:t>上网行为管理设备</w:t>
            </w:r>
          </w:p>
        </w:tc>
        <w:tc>
          <w:tcPr>
            <w:tcW w:w="693" w:type="pct"/>
            <w:tcBorders>
              <w:top w:val="nil"/>
              <w:left w:val="nil"/>
              <w:bottom w:val="single" w:color="auto" w:sz="4" w:space="0"/>
              <w:right w:val="single" w:color="auto" w:sz="4" w:space="0"/>
            </w:tcBorders>
            <w:shd w:val="clear" w:color="auto" w:fill="auto"/>
            <w:noWrap/>
            <w:vAlign w:val="center"/>
          </w:tcPr>
          <w:p w14:paraId="691F38EB">
            <w:pPr>
              <w:widowControl/>
              <w:jc w:val="center"/>
              <w:rPr>
                <w:rFonts w:hint="eastAsia" w:ascii="宋体" w:hAnsi="宋体" w:cs="仿宋"/>
                <w:szCs w:val="21"/>
              </w:rPr>
            </w:pPr>
            <w:r>
              <w:rPr>
                <w:rFonts w:hint="eastAsia" w:ascii="宋体" w:hAnsi="宋体" w:cs="仿宋"/>
                <w:szCs w:val="21"/>
              </w:rPr>
              <w:t>AC-1700</w:t>
            </w:r>
          </w:p>
        </w:tc>
        <w:tc>
          <w:tcPr>
            <w:tcW w:w="879" w:type="pct"/>
            <w:tcBorders>
              <w:top w:val="nil"/>
              <w:left w:val="nil"/>
              <w:bottom w:val="single" w:color="auto" w:sz="4" w:space="0"/>
              <w:right w:val="single" w:color="auto" w:sz="4" w:space="0"/>
            </w:tcBorders>
            <w:shd w:val="clear" w:color="auto" w:fill="auto"/>
            <w:noWrap/>
            <w:vAlign w:val="center"/>
          </w:tcPr>
          <w:p w14:paraId="20AA0135">
            <w:pPr>
              <w:widowControl/>
              <w:jc w:val="center"/>
              <w:rPr>
                <w:rFonts w:hint="eastAsia" w:ascii="宋体" w:hAnsi="宋体" w:cs="仿宋"/>
                <w:szCs w:val="21"/>
              </w:rPr>
            </w:pPr>
            <w:r>
              <w:rPr>
                <w:rFonts w:hint="eastAsia" w:ascii="宋体" w:hAnsi="宋体" w:cs="仿宋"/>
                <w:szCs w:val="21"/>
              </w:rPr>
              <w:t>上网行为管理设备</w:t>
            </w:r>
          </w:p>
        </w:tc>
        <w:tc>
          <w:tcPr>
            <w:tcW w:w="505" w:type="pct"/>
            <w:tcBorders>
              <w:top w:val="nil"/>
              <w:left w:val="nil"/>
              <w:bottom w:val="single" w:color="auto" w:sz="4" w:space="0"/>
              <w:right w:val="single" w:color="auto" w:sz="4" w:space="0"/>
            </w:tcBorders>
            <w:shd w:val="clear" w:color="auto" w:fill="auto"/>
            <w:noWrap/>
            <w:vAlign w:val="center"/>
          </w:tcPr>
          <w:p w14:paraId="6903B2C3">
            <w:pPr>
              <w:widowControl/>
              <w:jc w:val="center"/>
              <w:rPr>
                <w:rFonts w:hint="eastAsia" w:ascii="宋体" w:hAnsi="宋体" w:cs="仿宋"/>
                <w:szCs w:val="21"/>
              </w:rPr>
            </w:pPr>
            <w:r>
              <w:rPr>
                <w:rFonts w:hint="eastAsia" w:ascii="宋体" w:hAnsi="宋体" w:cs="仿宋"/>
                <w:szCs w:val="21"/>
              </w:rPr>
              <w:t>2</w:t>
            </w:r>
          </w:p>
        </w:tc>
      </w:tr>
      <w:tr w14:paraId="68D2ED9D">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6129949">
            <w:pPr>
              <w:widowControl/>
              <w:jc w:val="center"/>
              <w:rPr>
                <w:rFonts w:hint="eastAsia" w:ascii="宋体" w:hAnsi="宋体" w:cs="仿宋"/>
                <w:szCs w:val="21"/>
              </w:rPr>
            </w:pPr>
            <w:r>
              <w:rPr>
                <w:rFonts w:hint="eastAsia" w:ascii="宋体" w:hAnsi="宋体" w:cs="仿宋"/>
                <w:szCs w:val="21"/>
              </w:rPr>
              <w:t>4</w:t>
            </w:r>
          </w:p>
        </w:tc>
        <w:tc>
          <w:tcPr>
            <w:tcW w:w="1410" w:type="pct"/>
            <w:tcBorders>
              <w:top w:val="nil"/>
              <w:left w:val="nil"/>
              <w:bottom w:val="single" w:color="auto" w:sz="4" w:space="0"/>
              <w:right w:val="single" w:color="auto" w:sz="4" w:space="0"/>
            </w:tcBorders>
            <w:shd w:val="clear" w:color="auto" w:fill="auto"/>
            <w:noWrap/>
            <w:vAlign w:val="center"/>
          </w:tcPr>
          <w:p w14:paraId="34ADB6B8">
            <w:pPr>
              <w:widowControl/>
              <w:jc w:val="center"/>
              <w:rPr>
                <w:rFonts w:hint="eastAsia" w:ascii="宋体" w:hAnsi="宋体" w:cs="仿宋"/>
                <w:szCs w:val="21"/>
              </w:rPr>
            </w:pPr>
            <w:r>
              <w:rPr>
                <w:rFonts w:hint="eastAsia" w:ascii="宋体" w:hAnsi="宋体" w:cs="仿宋"/>
                <w:szCs w:val="21"/>
              </w:rPr>
              <w:t>各地分公司职场（含贵阳北七塔机房）</w:t>
            </w:r>
          </w:p>
        </w:tc>
        <w:tc>
          <w:tcPr>
            <w:tcW w:w="1196" w:type="pct"/>
            <w:tcBorders>
              <w:top w:val="nil"/>
              <w:left w:val="nil"/>
              <w:bottom w:val="single" w:color="auto" w:sz="4" w:space="0"/>
              <w:right w:val="single" w:color="auto" w:sz="4" w:space="0"/>
            </w:tcBorders>
            <w:shd w:val="clear" w:color="auto" w:fill="auto"/>
            <w:noWrap/>
            <w:vAlign w:val="center"/>
          </w:tcPr>
          <w:p w14:paraId="79095141">
            <w:pPr>
              <w:widowControl/>
              <w:jc w:val="center"/>
              <w:rPr>
                <w:rFonts w:hint="eastAsia" w:ascii="宋体" w:hAnsi="宋体" w:cs="仿宋"/>
                <w:szCs w:val="21"/>
              </w:rPr>
            </w:pPr>
            <w:r>
              <w:rPr>
                <w:rFonts w:hint="eastAsia" w:ascii="宋体" w:hAnsi="宋体" w:cs="仿宋"/>
                <w:szCs w:val="21"/>
              </w:rPr>
              <w:t>上网行为管理设备</w:t>
            </w:r>
          </w:p>
        </w:tc>
        <w:tc>
          <w:tcPr>
            <w:tcW w:w="693" w:type="pct"/>
            <w:tcBorders>
              <w:top w:val="nil"/>
              <w:left w:val="nil"/>
              <w:bottom w:val="single" w:color="auto" w:sz="4" w:space="0"/>
              <w:right w:val="single" w:color="auto" w:sz="4" w:space="0"/>
            </w:tcBorders>
            <w:shd w:val="clear" w:color="auto" w:fill="auto"/>
            <w:noWrap/>
            <w:vAlign w:val="center"/>
          </w:tcPr>
          <w:p w14:paraId="34C542E3">
            <w:pPr>
              <w:widowControl/>
              <w:jc w:val="center"/>
              <w:rPr>
                <w:rFonts w:hint="eastAsia" w:ascii="宋体" w:hAnsi="宋体" w:cs="仿宋"/>
                <w:szCs w:val="21"/>
              </w:rPr>
            </w:pPr>
            <w:r>
              <w:rPr>
                <w:rFonts w:hint="eastAsia" w:ascii="宋体" w:hAnsi="宋体" w:cs="仿宋"/>
                <w:szCs w:val="21"/>
              </w:rPr>
              <w:t>AC-1000-C400</w:t>
            </w:r>
          </w:p>
        </w:tc>
        <w:tc>
          <w:tcPr>
            <w:tcW w:w="879" w:type="pct"/>
            <w:tcBorders>
              <w:top w:val="nil"/>
              <w:left w:val="nil"/>
              <w:bottom w:val="single" w:color="auto" w:sz="4" w:space="0"/>
              <w:right w:val="single" w:color="auto" w:sz="4" w:space="0"/>
            </w:tcBorders>
            <w:shd w:val="clear" w:color="auto" w:fill="auto"/>
            <w:noWrap/>
            <w:vAlign w:val="center"/>
          </w:tcPr>
          <w:p w14:paraId="24C34EE8">
            <w:pPr>
              <w:widowControl/>
              <w:jc w:val="center"/>
              <w:rPr>
                <w:rFonts w:hint="eastAsia" w:ascii="宋体" w:hAnsi="宋体" w:cs="仿宋"/>
                <w:szCs w:val="21"/>
              </w:rPr>
            </w:pPr>
            <w:r>
              <w:rPr>
                <w:rFonts w:hint="eastAsia" w:ascii="宋体" w:hAnsi="宋体" w:cs="仿宋"/>
                <w:szCs w:val="21"/>
              </w:rPr>
              <w:t>上网行为管理设备</w:t>
            </w:r>
          </w:p>
        </w:tc>
        <w:tc>
          <w:tcPr>
            <w:tcW w:w="505" w:type="pct"/>
            <w:tcBorders>
              <w:top w:val="nil"/>
              <w:left w:val="nil"/>
              <w:bottom w:val="single" w:color="auto" w:sz="4" w:space="0"/>
              <w:right w:val="single" w:color="auto" w:sz="4" w:space="0"/>
            </w:tcBorders>
            <w:shd w:val="clear" w:color="auto" w:fill="auto"/>
            <w:noWrap/>
            <w:vAlign w:val="center"/>
          </w:tcPr>
          <w:p w14:paraId="4585CA35">
            <w:pPr>
              <w:widowControl/>
              <w:jc w:val="center"/>
              <w:rPr>
                <w:rFonts w:hint="eastAsia" w:ascii="宋体" w:hAnsi="宋体" w:cs="仿宋"/>
                <w:szCs w:val="21"/>
              </w:rPr>
            </w:pPr>
            <w:r>
              <w:rPr>
                <w:rFonts w:hint="eastAsia" w:ascii="宋体" w:hAnsi="宋体" w:cs="仿宋"/>
                <w:szCs w:val="21"/>
              </w:rPr>
              <w:t>32</w:t>
            </w:r>
          </w:p>
        </w:tc>
      </w:tr>
      <w:tr w14:paraId="64EF938F">
        <w:tblPrEx>
          <w:tblCellMar>
            <w:top w:w="0" w:type="dxa"/>
            <w:left w:w="108" w:type="dxa"/>
            <w:bottom w:w="0" w:type="dxa"/>
            <w:right w:w="108" w:type="dxa"/>
          </w:tblCellMar>
        </w:tblPrEx>
        <w:trPr>
          <w:trHeight w:val="288"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14:paraId="1B8AE3A3">
            <w:pPr>
              <w:widowControl/>
              <w:jc w:val="center"/>
              <w:rPr>
                <w:rFonts w:hint="eastAsia" w:ascii="宋体" w:hAnsi="宋体" w:cs="仿宋"/>
                <w:szCs w:val="21"/>
              </w:rPr>
            </w:pPr>
            <w:r>
              <w:rPr>
                <w:rFonts w:hint="eastAsia" w:ascii="宋体" w:hAnsi="宋体" w:cs="仿宋"/>
                <w:szCs w:val="21"/>
              </w:rPr>
              <w:t>　</w:t>
            </w:r>
          </w:p>
        </w:tc>
        <w:tc>
          <w:tcPr>
            <w:tcW w:w="1410" w:type="pct"/>
            <w:tcBorders>
              <w:top w:val="nil"/>
              <w:left w:val="nil"/>
              <w:bottom w:val="single" w:color="auto" w:sz="4" w:space="0"/>
              <w:right w:val="single" w:color="auto" w:sz="4" w:space="0"/>
            </w:tcBorders>
            <w:shd w:val="clear" w:color="auto" w:fill="auto"/>
            <w:noWrap/>
            <w:vAlign w:val="center"/>
          </w:tcPr>
          <w:p w14:paraId="2317888D">
            <w:pPr>
              <w:widowControl/>
              <w:jc w:val="center"/>
              <w:rPr>
                <w:rFonts w:hint="eastAsia" w:ascii="宋体" w:hAnsi="宋体" w:cs="仿宋"/>
                <w:szCs w:val="21"/>
              </w:rPr>
            </w:pPr>
            <w:r>
              <w:rPr>
                <w:rFonts w:hint="eastAsia" w:ascii="宋体" w:hAnsi="宋体" w:cs="仿宋"/>
                <w:szCs w:val="21"/>
              </w:rPr>
              <w:t>　</w:t>
            </w:r>
          </w:p>
        </w:tc>
        <w:tc>
          <w:tcPr>
            <w:tcW w:w="1196" w:type="pct"/>
            <w:tcBorders>
              <w:top w:val="nil"/>
              <w:left w:val="nil"/>
              <w:bottom w:val="single" w:color="auto" w:sz="4" w:space="0"/>
              <w:right w:val="single" w:color="auto" w:sz="4" w:space="0"/>
            </w:tcBorders>
            <w:shd w:val="clear" w:color="auto" w:fill="auto"/>
            <w:noWrap/>
            <w:vAlign w:val="center"/>
          </w:tcPr>
          <w:p w14:paraId="21B239BE">
            <w:pPr>
              <w:widowControl/>
              <w:jc w:val="center"/>
              <w:rPr>
                <w:rFonts w:hint="eastAsia" w:ascii="宋体" w:hAnsi="宋体" w:cs="仿宋"/>
                <w:szCs w:val="21"/>
              </w:rPr>
            </w:pPr>
            <w:r>
              <w:rPr>
                <w:rFonts w:hint="eastAsia" w:ascii="宋体" w:hAnsi="宋体" w:cs="仿宋"/>
                <w:szCs w:val="21"/>
              </w:rPr>
              <w:t>　</w:t>
            </w:r>
          </w:p>
        </w:tc>
        <w:tc>
          <w:tcPr>
            <w:tcW w:w="693" w:type="pct"/>
            <w:tcBorders>
              <w:top w:val="nil"/>
              <w:left w:val="nil"/>
              <w:bottom w:val="single" w:color="auto" w:sz="4" w:space="0"/>
              <w:right w:val="single" w:color="auto" w:sz="4" w:space="0"/>
            </w:tcBorders>
            <w:shd w:val="clear" w:color="auto" w:fill="auto"/>
            <w:noWrap/>
            <w:vAlign w:val="center"/>
          </w:tcPr>
          <w:p w14:paraId="7AB4B05E">
            <w:pPr>
              <w:widowControl/>
              <w:jc w:val="center"/>
              <w:rPr>
                <w:rFonts w:hint="eastAsia" w:ascii="宋体" w:hAnsi="宋体" w:cs="仿宋"/>
                <w:szCs w:val="21"/>
              </w:rPr>
            </w:pPr>
            <w:r>
              <w:rPr>
                <w:rFonts w:hint="eastAsia" w:ascii="宋体" w:hAnsi="宋体" w:cs="仿宋"/>
                <w:szCs w:val="21"/>
              </w:rPr>
              <w:t>　</w:t>
            </w:r>
          </w:p>
        </w:tc>
        <w:tc>
          <w:tcPr>
            <w:tcW w:w="879" w:type="pct"/>
            <w:tcBorders>
              <w:top w:val="nil"/>
              <w:left w:val="nil"/>
              <w:bottom w:val="single" w:color="auto" w:sz="4" w:space="0"/>
              <w:right w:val="single" w:color="auto" w:sz="4" w:space="0"/>
            </w:tcBorders>
            <w:shd w:val="clear" w:color="auto" w:fill="auto"/>
            <w:noWrap/>
            <w:vAlign w:val="center"/>
          </w:tcPr>
          <w:p w14:paraId="4D778314">
            <w:pPr>
              <w:widowControl/>
              <w:jc w:val="center"/>
              <w:rPr>
                <w:rFonts w:hint="eastAsia" w:ascii="宋体" w:hAnsi="宋体" w:cs="仿宋"/>
                <w:szCs w:val="21"/>
              </w:rPr>
            </w:pPr>
            <w:r>
              <w:rPr>
                <w:rFonts w:hint="eastAsia" w:ascii="宋体" w:hAnsi="宋体" w:cs="仿宋"/>
                <w:szCs w:val="21"/>
              </w:rPr>
              <w:t>总计：</w:t>
            </w:r>
          </w:p>
        </w:tc>
        <w:tc>
          <w:tcPr>
            <w:tcW w:w="505" w:type="pct"/>
            <w:tcBorders>
              <w:top w:val="nil"/>
              <w:left w:val="nil"/>
              <w:bottom w:val="single" w:color="auto" w:sz="4" w:space="0"/>
              <w:right w:val="single" w:color="auto" w:sz="4" w:space="0"/>
            </w:tcBorders>
            <w:shd w:val="clear" w:color="auto" w:fill="auto"/>
            <w:noWrap/>
            <w:vAlign w:val="center"/>
          </w:tcPr>
          <w:p w14:paraId="2E42F4EC">
            <w:pPr>
              <w:widowControl/>
              <w:jc w:val="center"/>
              <w:rPr>
                <w:rFonts w:hint="eastAsia" w:ascii="宋体" w:hAnsi="宋体" w:cs="仿宋"/>
                <w:szCs w:val="21"/>
              </w:rPr>
            </w:pPr>
            <w:r>
              <w:rPr>
                <w:rFonts w:hint="eastAsia" w:ascii="宋体" w:hAnsi="宋体" w:cs="仿宋"/>
                <w:szCs w:val="21"/>
              </w:rPr>
              <w:t>38</w:t>
            </w:r>
          </w:p>
        </w:tc>
      </w:tr>
    </w:tbl>
    <w:p w14:paraId="342805DF">
      <w:pPr>
        <w:pStyle w:val="18"/>
        <w:ind w:left="480" w:firstLine="480"/>
      </w:pPr>
    </w:p>
    <w:p w14:paraId="363CDD0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设备需求说明</w:t>
      </w:r>
    </w:p>
    <w:p w14:paraId="72932D10">
      <w:pPr>
        <w:rPr>
          <w:color w:val="FF0000"/>
        </w:rPr>
      </w:pPr>
      <w:r>
        <w:rPr>
          <w:rFonts w:hint="eastAsia"/>
          <w:color w:val="FF0000"/>
        </w:rPr>
        <w:t>基础要求项必须每项均满足要求，否则技术分计0分。</w:t>
      </w:r>
    </w:p>
    <w:p w14:paraId="1AF6CEE1">
      <w:pPr>
        <w:rPr>
          <w:color w:val="FF0000"/>
        </w:rPr>
      </w:pPr>
      <w:r>
        <w:rPr>
          <w:rFonts w:hint="eastAsia"/>
          <w:color w:val="FF0000"/>
        </w:rPr>
        <w:t>功能要求项允许不满足。</w:t>
      </w:r>
    </w:p>
    <w:p w14:paraId="22F3B6B2">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3.4.1</w:t>
      </w:r>
      <w:r>
        <w:rPr>
          <w:rFonts w:hint="eastAsia" w:ascii="宋体" w:hAnsi="宋体" w:cs="仿宋"/>
          <w:sz w:val="24"/>
          <w:szCs w:val="21"/>
        </w:rPr>
        <w:t>千兆防火墙</w:t>
      </w:r>
      <w:r>
        <w:rPr>
          <w:rFonts w:hint="eastAsia" w:asciiTheme="minorEastAsia" w:hAnsiTheme="minorEastAsia" w:eastAsiaTheme="minorEastAsia"/>
          <w:sz w:val="24"/>
          <w:szCs w:val="24"/>
        </w:rPr>
        <w:t>（4台）</w:t>
      </w:r>
    </w:p>
    <w:p w14:paraId="3E8AB765">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4台</w:t>
      </w:r>
      <w:r>
        <w:rPr>
          <w:rFonts w:hint="eastAsia" w:ascii="宋体" w:hAnsi="宋体" w:cs="仿宋"/>
          <w:szCs w:val="21"/>
        </w:rPr>
        <w:t>千兆防火墙。</w:t>
      </w:r>
    </w:p>
    <w:tbl>
      <w:tblPr>
        <w:tblStyle w:val="19"/>
        <w:tblW w:w="5000" w:type="pct"/>
        <w:tblInd w:w="0" w:type="dxa"/>
        <w:tblLayout w:type="autofit"/>
        <w:tblCellMar>
          <w:top w:w="0" w:type="dxa"/>
          <w:left w:w="108" w:type="dxa"/>
          <w:bottom w:w="0" w:type="dxa"/>
          <w:right w:w="108" w:type="dxa"/>
        </w:tblCellMar>
      </w:tblPr>
      <w:tblGrid>
        <w:gridCol w:w="623"/>
        <w:gridCol w:w="481"/>
        <w:gridCol w:w="791"/>
        <w:gridCol w:w="6627"/>
      </w:tblGrid>
      <w:tr w14:paraId="29D05A97">
        <w:trPr>
          <w:trHeight w:val="399"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1A4983">
            <w:pPr>
              <w:widowControl/>
              <w:jc w:val="center"/>
              <w:rPr>
                <w:rFonts w:hint="eastAsia" w:ascii="等线" w:hAnsi="等线" w:eastAsia="等线" w:cs="宋体"/>
                <w:b/>
                <w:bCs/>
                <w:kern w:val="0"/>
                <w:sz w:val="32"/>
                <w:szCs w:val="32"/>
              </w:rPr>
            </w:pPr>
            <w:r>
              <w:rPr>
                <w:rFonts w:hint="eastAsia" w:ascii="等线" w:hAnsi="等线" w:eastAsia="等线" w:cs="宋体"/>
                <w:b/>
                <w:bCs/>
                <w:kern w:val="0"/>
                <w:sz w:val="32"/>
                <w:szCs w:val="32"/>
              </w:rPr>
              <w:t>千兆防火墙（总部IPSECVPN接入设备）共4台</w:t>
            </w:r>
          </w:p>
        </w:tc>
      </w:tr>
      <w:tr w14:paraId="71064EE4">
        <w:tblPrEx>
          <w:tblCellMar>
            <w:top w:w="0" w:type="dxa"/>
            <w:left w:w="108" w:type="dxa"/>
            <w:bottom w:w="0" w:type="dxa"/>
            <w:right w:w="108" w:type="dxa"/>
          </w:tblCellMar>
        </w:tblPrEx>
        <w:trPr>
          <w:trHeight w:val="264" w:hRule="atLeast"/>
        </w:trPr>
        <w:tc>
          <w:tcPr>
            <w:tcW w:w="366" w:type="pct"/>
            <w:tcBorders>
              <w:top w:val="nil"/>
              <w:left w:val="single" w:color="auto" w:sz="4" w:space="0"/>
              <w:bottom w:val="single" w:color="auto" w:sz="4" w:space="0"/>
              <w:right w:val="single" w:color="auto" w:sz="4" w:space="0"/>
            </w:tcBorders>
            <w:shd w:val="clear" w:color="auto" w:fill="auto"/>
            <w:vAlign w:val="center"/>
          </w:tcPr>
          <w:p w14:paraId="1B97BB4C">
            <w:pPr>
              <w:widowControl/>
              <w:jc w:val="center"/>
              <w:rPr>
                <w:rFonts w:hint="eastAsia" w:ascii="宋体" w:hAnsi="宋体" w:cs="宋体"/>
                <w:b/>
                <w:bCs/>
                <w:kern w:val="0"/>
                <w:sz w:val="20"/>
                <w:szCs w:val="20"/>
              </w:rPr>
            </w:pPr>
            <w:r>
              <w:rPr>
                <w:rFonts w:hint="eastAsia" w:ascii="宋体" w:hAnsi="宋体" w:cs="宋体"/>
                <w:b/>
                <w:bCs/>
                <w:kern w:val="0"/>
                <w:sz w:val="20"/>
                <w:szCs w:val="20"/>
              </w:rPr>
              <w:t>类别</w:t>
            </w:r>
          </w:p>
        </w:tc>
        <w:tc>
          <w:tcPr>
            <w:tcW w:w="282" w:type="pct"/>
            <w:tcBorders>
              <w:top w:val="nil"/>
              <w:left w:val="nil"/>
              <w:bottom w:val="nil"/>
              <w:right w:val="single" w:color="auto" w:sz="4" w:space="0"/>
            </w:tcBorders>
            <w:shd w:val="clear" w:color="auto" w:fill="auto"/>
            <w:vAlign w:val="center"/>
          </w:tcPr>
          <w:p w14:paraId="2B32BB5F">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464" w:type="pct"/>
            <w:tcBorders>
              <w:top w:val="nil"/>
              <w:left w:val="nil"/>
              <w:bottom w:val="nil"/>
              <w:right w:val="single" w:color="auto" w:sz="4" w:space="0"/>
            </w:tcBorders>
            <w:shd w:val="clear" w:color="auto" w:fill="auto"/>
            <w:vAlign w:val="center"/>
          </w:tcPr>
          <w:p w14:paraId="3F5A8F83">
            <w:pPr>
              <w:widowControl/>
              <w:jc w:val="center"/>
              <w:rPr>
                <w:rFonts w:hint="eastAsia" w:ascii="宋体" w:hAnsi="宋体" w:cs="宋体"/>
                <w:b/>
                <w:bCs/>
                <w:kern w:val="0"/>
                <w:sz w:val="20"/>
                <w:szCs w:val="20"/>
              </w:rPr>
            </w:pPr>
            <w:r>
              <w:rPr>
                <w:rFonts w:hint="eastAsia" w:ascii="宋体" w:hAnsi="宋体" w:cs="宋体"/>
                <w:b/>
                <w:bCs/>
                <w:kern w:val="0"/>
                <w:sz w:val="20"/>
                <w:szCs w:val="20"/>
              </w:rPr>
              <w:t>要求项</w:t>
            </w:r>
          </w:p>
        </w:tc>
        <w:tc>
          <w:tcPr>
            <w:tcW w:w="3888" w:type="pct"/>
            <w:tcBorders>
              <w:top w:val="nil"/>
              <w:left w:val="nil"/>
              <w:bottom w:val="nil"/>
              <w:right w:val="single" w:color="auto" w:sz="4" w:space="0"/>
            </w:tcBorders>
            <w:shd w:val="clear" w:color="auto" w:fill="auto"/>
            <w:vAlign w:val="center"/>
          </w:tcPr>
          <w:p w14:paraId="3690D412">
            <w:pPr>
              <w:widowControl/>
              <w:jc w:val="center"/>
              <w:rPr>
                <w:rFonts w:hint="eastAsia" w:ascii="宋体" w:hAnsi="宋体" w:cs="宋体"/>
                <w:b/>
                <w:bCs/>
                <w:kern w:val="0"/>
                <w:sz w:val="20"/>
                <w:szCs w:val="20"/>
              </w:rPr>
            </w:pPr>
            <w:r>
              <w:rPr>
                <w:rFonts w:hint="eastAsia" w:ascii="宋体" w:hAnsi="宋体" w:cs="宋体"/>
                <w:b/>
                <w:bCs/>
                <w:kern w:val="0"/>
                <w:sz w:val="20"/>
                <w:szCs w:val="20"/>
              </w:rPr>
              <w:t>要求明细</w:t>
            </w:r>
          </w:p>
        </w:tc>
      </w:tr>
      <w:tr w14:paraId="6E0547A1">
        <w:tblPrEx>
          <w:tblCellMar>
            <w:top w:w="0" w:type="dxa"/>
            <w:left w:w="108" w:type="dxa"/>
            <w:bottom w:w="0" w:type="dxa"/>
            <w:right w:w="108" w:type="dxa"/>
          </w:tblCellMar>
        </w:tblPrEx>
        <w:trPr>
          <w:trHeight w:val="264"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14:paraId="3FDF576F">
            <w:pPr>
              <w:widowControl/>
              <w:jc w:val="center"/>
              <w:rPr>
                <w:rFonts w:hint="eastAsia" w:ascii="宋体" w:hAnsi="宋体" w:cs="宋体"/>
                <w:kern w:val="0"/>
                <w:sz w:val="18"/>
                <w:szCs w:val="18"/>
              </w:rPr>
            </w:pPr>
            <w:r>
              <w:rPr>
                <w:rFonts w:hint="eastAsia" w:ascii="宋体" w:hAnsi="宋体" w:cs="宋体"/>
                <w:kern w:val="0"/>
                <w:sz w:val="18"/>
                <w:szCs w:val="18"/>
              </w:rPr>
              <w:t>★基础要求</w:t>
            </w:r>
          </w:p>
        </w:tc>
        <w:tc>
          <w:tcPr>
            <w:tcW w:w="282" w:type="pct"/>
            <w:tcBorders>
              <w:top w:val="single" w:color="auto" w:sz="4" w:space="0"/>
              <w:left w:val="nil"/>
              <w:bottom w:val="single" w:color="auto" w:sz="4" w:space="0"/>
              <w:right w:val="single" w:color="auto" w:sz="4" w:space="0"/>
            </w:tcBorders>
            <w:shd w:val="clear" w:color="auto" w:fill="auto"/>
            <w:vAlign w:val="center"/>
          </w:tcPr>
          <w:p w14:paraId="6D886E30">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464" w:type="pct"/>
            <w:tcBorders>
              <w:top w:val="single" w:color="auto" w:sz="4" w:space="0"/>
              <w:left w:val="nil"/>
              <w:bottom w:val="single" w:color="auto" w:sz="4" w:space="0"/>
              <w:right w:val="single" w:color="auto" w:sz="4" w:space="0"/>
            </w:tcBorders>
            <w:shd w:val="clear" w:color="auto" w:fill="auto"/>
            <w:vAlign w:val="center"/>
          </w:tcPr>
          <w:p w14:paraId="3513FE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案例要求</w:t>
            </w:r>
          </w:p>
        </w:tc>
        <w:tc>
          <w:tcPr>
            <w:tcW w:w="3888" w:type="pct"/>
            <w:tcBorders>
              <w:top w:val="single" w:color="auto" w:sz="4" w:space="0"/>
              <w:left w:val="nil"/>
              <w:bottom w:val="single" w:color="auto" w:sz="4" w:space="0"/>
              <w:right w:val="single" w:color="auto" w:sz="4" w:space="0"/>
            </w:tcBorders>
            <w:shd w:val="clear" w:color="auto" w:fill="auto"/>
            <w:vAlign w:val="center"/>
          </w:tcPr>
          <w:p w14:paraId="48393D50">
            <w:pPr>
              <w:widowControl/>
              <w:jc w:val="left"/>
              <w:rPr>
                <w:rFonts w:hint="eastAsia" w:ascii="宋体" w:hAnsi="宋体" w:cs="宋体"/>
                <w:kern w:val="0"/>
                <w:sz w:val="18"/>
                <w:szCs w:val="18"/>
              </w:rPr>
            </w:pPr>
            <w:r>
              <w:rPr>
                <w:rFonts w:hint="eastAsia" w:ascii="宋体" w:hAnsi="宋体" w:cs="宋体"/>
                <w:kern w:val="0"/>
                <w:sz w:val="18"/>
                <w:szCs w:val="18"/>
              </w:rPr>
              <w:t>提供防火墙同系列在证券行业的案例。（提供证明材料）</w:t>
            </w:r>
          </w:p>
        </w:tc>
      </w:tr>
      <w:tr w14:paraId="3B8BB20B">
        <w:tblPrEx>
          <w:tblCellMar>
            <w:top w:w="0" w:type="dxa"/>
            <w:left w:w="108" w:type="dxa"/>
            <w:bottom w:w="0" w:type="dxa"/>
            <w:right w:w="108" w:type="dxa"/>
          </w:tblCellMar>
        </w:tblPrEx>
        <w:trPr>
          <w:trHeight w:val="840" w:hRule="atLeast"/>
        </w:trPr>
        <w:tc>
          <w:tcPr>
            <w:tcW w:w="366" w:type="pct"/>
            <w:vMerge w:val="continue"/>
            <w:tcBorders>
              <w:top w:val="nil"/>
              <w:left w:val="single" w:color="auto" w:sz="4" w:space="0"/>
              <w:bottom w:val="single" w:color="auto" w:sz="4" w:space="0"/>
              <w:right w:val="single" w:color="auto" w:sz="4" w:space="0"/>
            </w:tcBorders>
            <w:vAlign w:val="center"/>
          </w:tcPr>
          <w:p w14:paraId="2BD334AD">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39E24112">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464" w:type="pct"/>
            <w:tcBorders>
              <w:top w:val="nil"/>
              <w:left w:val="nil"/>
              <w:bottom w:val="single" w:color="auto" w:sz="4" w:space="0"/>
              <w:right w:val="single" w:color="auto" w:sz="4" w:space="0"/>
            </w:tcBorders>
            <w:shd w:val="clear" w:color="auto" w:fill="auto"/>
            <w:vAlign w:val="center"/>
          </w:tcPr>
          <w:p w14:paraId="7533B02C">
            <w:pPr>
              <w:widowControl/>
              <w:jc w:val="center"/>
              <w:rPr>
                <w:rFonts w:hint="eastAsia" w:ascii="宋体" w:hAnsi="宋体" w:cs="宋体"/>
                <w:kern w:val="0"/>
                <w:sz w:val="18"/>
                <w:szCs w:val="18"/>
              </w:rPr>
            </w:pPr>
            <w:r>
              <w:rPr>
                <w:rFonts w:hint="eastAsia" w:ascii="宋体" w:hAnsi="宋体" w:cs="宋体"/>
                <w:kern w:val="0"/>
                <w:sz w:val="18"/>
                <w:szCs w:val="18"/>
              </w:rPr>
              <w:t>产品要求</w:t>
            </w:r>
          </w:p>
        </w:tc>
        <w:tc>
          <w:tcPr>
            <w:tcW w:w="3888" w:type="pct"/>
            <w:tcBorders>
              <w:top w:val="nil"/>
              <w:left w:val="nil"/>
              <w:bottom w:val="single" w:color="auto" w:sz="4" w:space="0"/>
              <w:right w:val="single" w:color="auto" w:sz="4" w:space="0"/>
            </w:tcBorders>
            <w:shd w:val="clear" w:color="auto" w:fill="auto"/>
            <w:vAlign w:val="center"/>
          </w:tcPr>
          <w:p w14:paraId="5B48C1B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要求所投产品具备中国国家信息安全产品认证证书EAL4+。（提供有效证书复印件）</w:t>
            </w:r>
          </w:p>
        </w:tc>
      </w:tr>
      <w:tr w14:paraId="28CB186E">
        <w:tblPrEx>
          <w:tblCellMar>
            <w:top w:w="0" w:type="dxa"/>
            <w:left w:w="108" w:type="dxa"/>
            <w:bottom w:w="0" w:type="dxa"/>
            <w:right w:w="108" w:type="dxa"/>
          </w:tblCellMar>
        </w:tblPrEx>
        <w:trPr>
          <w:trHeight w:val="948" w:hRule="atLeast"/>
        </w:trPr>
        <w:tc>
          <w:tcPr>
            <w:tcW w:w="366" w:type="pct"/>
            <w:vMerge w:val="continue"/>
            <w:tcBorders>
              <w:top w:val="nil"/>
              <w:left w:val="single" w:color="auto" w:sz="4" w:space="0"/>
              <w:bottom w:val="single" w:color="auto" w:sz="4" w:space="0"/>
              <w:right w:val="single" w:color="auto" w:sz="4" w:space="0"/>
            </w:tcBorders>
            <w:vAlign w:val="center"/>
          </w:tcPr>
          <w:p w14:paraId="04895434">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37D395AA">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464" w:type="pct"/>
            <w:tcBorders>
              <w:top w:val="nil"/>
              <w:left w:val="nil"/>
              <w:bottom w:val="single" w:color="auto" w:sz="4" w:space="0"/>
              <w:right w:val="single" w:color="auto" w:sz="4" w:space="0"/>
            </w:tcBorders>
            <w:shd w:val="clear" w:color="auto" w:fill="auto"/>
            <w:vAlign w:val="center"/>
          </w:tcPr>
          <w:p w14:paraId="30FF9BF2">
            <w:pPr>
              <w:widowControl/>
              <w:jc w:val="center"/>
              <w:rPr>
                <w:rFonts w:hint="eastAsia" w:ascii="宋体" w:hAnsi="宋体" w:cs="宋体"/>
                <w:kern w:val="0"/>
                <w:sz w:val="18"/>
                <w:szCs w:val="18"/>
              </w:rPr>
            </w:pPr>
            <w:r>
              <w:rPr>
                <w:rFonts w:hint="eastAsia" w:ascii="宋体" w:hAnsi="宋体" w:cs="宋体"/>
                <w:kern w:val="0"/>
                <w:sz w:val="18"/>
                <w:szCs w:val="18"/>
              </w:rPr>
              <w:t>排名要求</w:t>
            </w:r>
          </w:p>
        </w:tc>
        <w:tc>
          <w:tcPr>
            <w:tcW w:w="3888" w:type="pct"/>
            <w:tcBorders>
              <w:top w:val="nil"/>
              <w:left w:val="nil"/>
              <w:bottom w:val="single" w:color="auto" w:sz="4" w:space="0"/>
              <w:right w:val="single" w:color="auto" w:sz="4" w:space="0"/>
            </w:tcBorders>
            <w:shd w:val="clear" w:color="auto" w:fill="auto"/>
            <w:vAlign w:val="center"/>
          </w:tcPr>
          <w:p w14:paraId="38B5EE5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要求所投产品连续6年或以上入围Gartner网络防火墙魔力象限。（提供有效证明材料）</w:t>
            </w:r>
          </w:p>
        </w:tc>
      </w:tr>
      <w:tr w14:paraId="3C07BBA7">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4F3DF0E5">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27BBCD5">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6ADBF60E">
            <w:pPr>
              <w:widowControl/>
              <w:jc w:val="center"/>
              <w:rPr>
                <w:rFonts w:hint="eastAsia" w:ascii="宋体" w:hAnsi="宋体" w:cs="宋体"/>
                <w:kern w:val="0"/>
                <w:sz w:val="18"/>
                <w:szCs w:val="18"/>
              </w:rPr>
            </w:pPr>
            <w:r>
              <w:rPr>
                <w:rFonts w:hint="eastAsia" w:ascii="宋体" w:hAnsi="宋体" w:cs="宋体"/>
                <w:kern w:val="0"/>
                <w:sz w:val="18"/>
                <w:szCs w:val="18"/>
              </w:rPr>
              <w:t>IPV6能力</w:t>
            </w:r>
          </w:p>
        </w:tc>
        <w:tc>
          <w:tcPr>
            <w:tcW w:w="3888" w:type="pct"/>
            <w:tcBorders>
              <w:top w:val="nil"/>
              <w:left w:val="nil"/>
              <w:bottom w:val="single" w:color="auto" w:sz="4" w:space="0"/>
              <w:right w:val="single" w:color="auto" w:sz="4" w:space="0"/>
            </w:tcBorders>
            <w:shd w:val="clear" w:color="auto" w:fill="auto"/>
            <w:vAlign w:val="center"/>
          </w:tcPr>
          <w:p w14:paraId="2B52979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产品支持IPv4/IPv6双栈工作模式，以适应IPv6发展趋势。（提供证明材料，如官网截图、产品功能截图、第三方权威检测报告等）</w:t>
            </w:r>
          </w:p>
        </w:tc>
      </w:tr>
      <w:tr w14:paraId="4B020B9D">
        <w:tblPrEx>
          <w:tblCellMar>
            <w:top w:w="0" w:type="dxa"/>
            <w:left w:w="108" w:type="dxa"/>
            <w:bottom w:w="0" w:type="dxa"/>
            <w:right w:w="108" w:type="dxa"/>
          </w:tblCellMar>
        </w:tblPrEx>
        <w:trPr>
          <w:trHeight w:val="264" w:hRule="atLeast"/>
        </w:trPr>
        <w:tc>
          <w:tcPr>
            <w:tcW w:w="366" w:type="pct"/>
            <w:vMerge w:val="continue"/>
            <w:tcBorders>
              <w:top w:val="nil"/>
              <w:left w:val="single" w:color="auto" w:sz="4" w:space="0"/>
              <w:bottom w:val="single" w:color="auto" w:sz="4" w:space="0"/>
              <w:right w:val="single" w:color="auto" w:sz="4" w:space="0"/>
            </w:tcBorders>
            <w:vAlign w:val="center"/>
          </w:tcPr>
          <w:p w14:paraId="41058DC7">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638A920">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464" w:type="pct"/>
            <w:vMerge w:val="continue"/>
            <w:tcBorders>
              <w:top w:val="nil"/>
              <w:left w:val="single" w:color="auto" w:sz="4" w:space="0"/>
              <w:bottom w:val="single" w:color="auto" w:sz="4" w:space="0"/>
              <w:right w:val="single" w:color="auto" w:sz="4" w:space="0"/>
            </w:tcBorders>
            <w:vAlign w:val="center"/>
          </w:tcPr>
          <w:p w14:paraId="44F56AB0">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234EB57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所投产品具备IPv6 Ready Phase-2认证（提供有效证书复印件）</w:t>
            </w:r>
          </w:p>
        </w:tc>
      </w:tr>
      <w:tr w14:paraId="188ED65E">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04C80242">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63EE07D">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464" w:type="pct"/>
            <w:tcBorders>
              <w:top w:val="nil"/>
              <w:left w:val="nil"/>
              <w:bottom w:val="single" w:color="auto" w:sz="4" w:space="0"/>
              <w:right w:val="single" w:color="auto" w:sz="4" w:space="0"/>
            </w:tcBorders>
            <w:shd w:val="clear" w:color="auto" w:fill="auto"/>
            <w:vAlign w:val="center"/>
          </w:tcPr>
          <w:p w14:paraId="65697758">
            <w:pPr>
              <w:widowControl/>
              <w:jc w:val="center"/>
              <w:rPr>
                <w:rFonts w:hint="eastAsia" w:ascii="宋体" w:hAnsi="宋体" w:cs="宋体"/>
                <w:kern w:val="0"/>
                <w:sz w:val="18"/>
                <w:szCs w:val="18"/>
              </w:rPr>
            </w:pPr>
            <w:r>
              <w:rPr>
                <w:rFonts w:hint="eastAsia" w:ascii="宋体" w:hAnsi="宋体" w:cs="宋体"/>
                <w:kern w:val="0"/>
                <w:sz w:val="18"/>
                <w:szCs w:val="18"/>
              </w:rPr>
              <w:t>高可靠性</w:t>
            </w:r>
          </w:p>
        </w:tc>
        <w:tc>
          <w:tcPr>
            <w:tcW w:w="3888" w:type="pct"/>
            <w:tcBorders>
              <w:top w:val="nil"/>
              <w:left w:val="nil"/>
              <w:bottom w:val="single" w:color="auto" w:sz="4" w:space="0"/>
              <w:right w:val="single" w:color="auto" w:sz="4" w:space="0"/>
            </w:tcBorders>
            <w:shd w:val="clear" w:color="auto" w:fill="auto"/>
            <w:vAlign w:val="center"/>
          </w:tcPr>
          <w:p w14:paraId="4A559BC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支持双机热备实现HA，支持业务不中断升级。（提供证明材料，如官网截图、产品功能截图、第三方权威检测报告等）</w:t>
            </w:r>
          </w:p>
        </w:tc>
      </w:tr>
      <w:tr w14:paraId="4F766531">
        <w:tblPrEx>
          <w:tblCellMar>
            <w:top w:w="0" w:type="dxa"/>
            <w:left w:w="108" w:type="dxa"/>
            <w:bottom w:w="0" w:type="dxa"/>
            <w:right w:w="108" w:type="dxa"/>
          </w:tblCellMar>
        </w:tblPrEx>
        <w:trPr>
          <w:trHeight w:val="864" w:hRule="atLeast"/>
        </w:trPr>
        <w:tc>
          <w:tcPr>
            <w:tcW w:w="366" w:type="pct"/>
            <w:vMerge w:val="continue"/>
            <w:tcBorders>
              <w:top w:val="nil"/>
              <w:left w:val="single" w:color="auto" w:sz="4" w:space="0"/>
              <w:bottom w:val="single" w:color="auto" w:sz="4" w:space="0"/>
              <w:right w:val="single" w:color="auto" w:sz="4" w:space="0"/>
            </w:tcBorders>
            <w:vAlign w:val="center"/>
          </w:tcPr>
          <w:p w14:paraId="461846D9">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212409D">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464" w:type="pct"/>
            <w:tcBorders>
              <w:top w:val="nil"/>
              <w:left w:val="nil"/>
              <w:bottom w:val="single" w:color="auto" w:sz="4" w:space="0"/>
              <w:right w:val="single" w:color="auto" w:sz="4" w:space="0"/>
            </w:tcBorders>
            <w:shd w:val="clear" w:color="auto" w:fill="auto"/>
            <w:vAlign w:val="center"/>
          </w:tcPr>
          <w:p w14:paraId="1536B81E">
            <w:pPr>
              <w:widowControl/>
              <w:jc w:val="center"/>
              <w:rPr>
                <w:rFonts w:hint="eastAsia" w:ascii="宋体" w:hAnsi="宋体" w:cs="宋体"/>
                <w:kern w:val="0"/>
                <w:sz w:val="18"/>
                <w:szCs w:val="18"/>
              </w:rPr>
            </w:pPr>
            <w:r>
              <w:rPr>
                <w:rFonts w:hint="eastAsia" w:ascii="宋体" w:hAnsi="宋体" w:cs="宋体"/>
                <w:kern w:val="0"/>
                <w:sz w:val="18"/>
                <w:szCs w:val="18"/>
              </w:rPr>
              <w:t>性能参数</w:t>
            </w:r>
          </w:p>
        </w:tc>
        <w:tc>
          <w:tcPr>
            <w:tcW w:w="3888" w:type="pct"/>
            <w:tcBorders>
              <w:top w:val="nil"/>
              <w:left w:val="nil"/>
              <w:bottom w:val="single" w:color="auto" w:sz="4" w:space="0"/>
              <w:right w:val="single" w:color="auto" w:sz="4" w:space="0"/>
            </w:tcBorders>
            <w:shd w:val="clear" w:color="auto" w:fill="auto"/>
            <w:vAlign w:val="center"/>
          </w:tcPr>
          <w:p w14:paraId="6C832A5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网络层吞吐量≥10G；应用层吞吐量≥4G；IPS吞吐≥1G；全威胁吞吐量(IPS+WAF+防病毒）≥800M；并发连接数≥400万；HTTP新建连接数≥10万；IPSec VPN 吞吐量≥800M.（提供证明材料，如官网截图、产品彩页截图、第三方报告等）</w:t>
            </w:r>
          </w:p>
        </w:tc>
      </w:tr>
      <w:tr w14:paraId="0C785FA6">
        <w:tblPrEx>
          <w:tblCellMar>
            <w:top w:w="0" w:type="dxa"/>
            <w:left w:w="108" w:type="dxa"/>
            <w:bottom w:w="0" w:type="dxa"/>
            <w:right w:w="108" w:type="dxa"/>
          </w:tblCellMar>
        </w:tblPrEx>
        <w:trPr>
          <w:trHeight w:val="264" w:hRule="atLeast"/>
        </w:trPr>
        <w:tc>
          <w:tcPr>
            <w:tcW w:w="366" w:type="pct"/>
            <w:vMerge w:val="continue"/>
            <w:tcBorders>
              <w:top w:val="nil"/>
              <w:left w:val="single" w:color="auto" w:sz="4" w:space="0"/>
              <w:bottom w:val="single" w:color="auto" w:sz="4" w:space="0"/>
              <w:right w:val="single" w:color="auto" w:sz="4" w:space="0"/>
            </w:tcBorders>
            <w:vAlign w:val="center"/>
          </w:tcPr>
          <w:p w14:paraId="5FD15E86">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91A57E2">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464" w:type="pct"/>
            <w:tcBorders>
              <w:top w:val="nil"/>
              <w:left w:val="nil"/>
              <w:bottom w:val="single" w:color="auto" w:sz="4" w:space="0"/>
              <w:right w:val="single" w:color="auto" w:sz="4" w:space="0"/>
            </w:tcBorders>
            <w:shd w:val="clear" w:color="auto" w:fill="auto"/>
            <w:vAlign w:val="center"/>
          </w:tcPr>
          <w:p w14:paraId="48E857A1">
            <w:pPr>
              <w:widowControl/>
              <w:jc w:val="center"/>
              <w:rPr>
                <w:rFonts w:hint="eastAsia" w:ascii="宋体" w:hAnsi="宋体" w:cs="宋体"/>
                <w:kern w:val="0"/>
                <w:sz w:val="18"/>
                <w:szCs w:val="18"/>
              </w:rPr>
            </w:pPr>
            <w:r>
              <w:rPr>
                <w:rFonts w:hint="eastAsia" w:ascii="宋体" w:hAnsi="宋体" w:cs="宋体"/>
                <w:kern w:val="0"/>
                <w:sz w:val="18"/>
                <w:szCs w:val="18"/>
              </w:rPr>
              <w:t>熬</w:t>
            </w:r>
          </w:p>
        </w:tc>
        <w:tc>
          <w:tcPr>
            <w:tcW w:w="3888" w:type="pct"/>
            <w:tcBorders>
              <w:top w:val="nil"/>
              <w:left w:val="nil"/>
              <w:bottom w:val="single" w:color="auto" w:sz="4" w:space="0"/>
              <w:right w:val="single" w:color="auto" w:sz="4" w:space="0"/>
            </w:tcBorders>
            <w:shd w:val="clear" w:color="auto" w:fill="auto"/>
            <w:vAlign w:val="center"/>
          </w:tcPr>
          <w:p w14:paraId="2C180F0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配置IPS/AV/URL/Web应用等特征库5年升级授权函。</w:t>
            </w:r>
          </w:p>
        </w:tc>
      </w:tr>
      <w:tr w14:paraId="28416E3A">
        <w:tblPrEx>
          <w:tblCellMar>
            <w:top w:w="0" w:type="dxa"/>
            <w:left w:w="108" w:type="dxa"/>
            <w:bottom w:w="0" w:type="dxa"/>
            <w:right w:w="108" w:type="dxa"/>
          </w:tblCellMar>
        </w:tblPrEx>
        <w:trPr>
          <w:trHeight w:val="660" w:hRule="atLeast"/>
        </w:trPr>
        <w:tc>
          <w:tcPr>
            <w:tcW w:w="366" w:type="pct"/>
            <w:vMerge w:val="continue"/>
            <w:tcBorders>
              <w:top w:val="nil"/>
              <w:left w:val="single" w:color="auto" w:sz="4" w:space="0"/>
              <w:bottom w:val="single" w:color="auto" w:sz="4" w:space="0"/>
              <w:right w:val="single" w:color="auto" w:sz="4" w:space="0"/>
            </w:tcBorders>
            <w:vAlign w:val="center"/>
          </w:tcPr>
          <w:p w14:paraId="01BCDE4F">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2DBE067">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464" w:type="pct"/>
            <w:tcBorders>
              <w:top w:val="nil"/>
              <w:left w:val="nil"/>
              <w:bottom w:val="single" w:color="auto" w:sz="4" w:space="0"/>
              <w:right w:val="single" w:color="auto" w:sz="4" w:space="0"/>
            </w:tcBorders>
            <w:shd w:val="clear" w:color="auto" w:fill="auto"/>
            <w:vAlign w:val="center"/>
          </w:tcPr>
          <w:p w14:paraId="02268218">
            <w:pPr>
              <w:widowControl/>
              <w:jc w:val="center"/>
              <w:rPr>
                <w:rFonts w:hint="eastAsia" w:ascii="宋体" w:hAnsi="宋体" w:cs="宋体"/>
                <w:kern w:val="0"/>
                <w:sz w:val="18"/>
                <w:szCs w:val="18"/>
              </w:rPr>
            </w:pPr>
            <w:r>
              <w:rPr>
                <w:rFonts w:hint="eastAsia" w:ascii="宋体" w:hAnsi="宋体" w:cs="宋体"/>
                <w:kern w:val="0"/>
                <w:sz w:val="18"/>
                <w:szCs w:val="18"/>
              </w:rPr>
              <w:t>维保要求</w:t>
            </w:r>
          </w:p>
        </w:tc>
        <w:tc>
          <w:tcPr>
            <w:tcW w:w="3888" w:type="pct"/>
            <w:tcBorders>
              <w:top w:val="nil"/>
              <w:left w:val="nil"/>
              <w:bottom w:val="single" w:color="auto" w:sz="4" w:space="0"/>
              <w:right w:val="single" w:color="auto" w:sz="4" w:space="0"/>
            </w:tcBorders>
            <w:shd w:val="clear" w:color="auto" w:fill="auto"/>
            <w:vAlign w:val="center"/>
          </w:tcPr>
          <w:p w14:paraId="50208D2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防火墙设备包含5年原厂维保服务，维保服务为 7*24*4。</w:t>
            </w:r>
          </w:p>
        </w:tc>
      </w:tr>
      <w:tr w14:paraId="60DFE8B7">
        <w:tblPrEx>
          <w:tblCellMar>
            <w:top w:w="0" w:type="dxa"/>
            <w:left w:w="108" w:type="dxa"/>
            <w:bottom w:w="0" w:type="dxa"/>
            <w:right w:w="108" w:type="dxa"/>
          </w:tblCellMar>
        </w:tblPrEx>
        <w:trPr>
          <w:trHeight w:val="660" w:hRule="atLeast"/>
        </w:trPr>
        <w:tc>
          <w:tcPr>
            <w:tcW w:w="366" w:type="pct"/>
            <w:vMerge w:val="continue"/>
            <w:tcBorders>
              <w:top w:val="nil"/>
              <w:left w:val="single" w:color="auto" w:sz="4" w:space="0"/>
              <w:bottom w:val="single" w:color="auto" w:sz="4" w:space="0"/>
              <w:right w:val="single" w:color="auto" w:sz="4" w:space="0"/>
            </w:tcBorders>
            <w:vAlign w:val="center"/>
          </w:tcPr>
          <w:p w14:paraId="549E5639">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593D4B75">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464" w:type="pct"/>
            <w:tcBorders>
              <w:top w:val="nil"/>
              <w:left w:val="nil"/>
              <w:bottom w:val="single" w:color="auto" w:sz="4" w:space="0"/>
              <w:right w:val="single" w:color="auto" w:sz="4" w:space="0"/>
            </w:tcBorders>
            <w:shd w:val="clear" w:color="auto" w:fill="auto"/>
            <w:vAlign w:val="center"/>
          </w:tcPr>
          <w:p w14:paraId="6A3D91F3">
            <w:pPr>
              <w:widowControl/>
              <w:jc w:val="center"/>
              <w:rPr>
                <w:rFonts w:hint="eastAsia" w:ascii="宋体" w:hAnsi="宋体" w:cs="宋体"/>
                <w:kern w:val="0"/>
                <w:sz w:val="18"/>
                <w:szCs w:val="18"/>
              </w:rPr>
            </w:pPr>
            <w:r>
              <w:rPr>
                <w:rFonts w:hint="eastAsia" w:ascii="宋体" w:hAnsi="宋体" w:cs="宋体"/>
                <w:kern w:val="0"/>
                <w:sz w:val="18"/>
                <w:szCs w:val="18"/>
              </w:rPr>
              <w:t>端口要求</w:t>
            </w:r>
          </w:p>
        </w:tc>
        <w:tc>
          <w:tcPr>
            <w:tcW w:w="3888" w:type="pct"/>
            <w:tcBorders>
              <w:top w:val="nil"/>
              <w:left w:val="nil"/>
              <w:bottom w:val="single" w:color="auto" w:sz="4" w:space="0"/>
              <w:right w:val="single" w:color="auto" w:sz="4" w:space="0"/>
            </w:tcBorders>
            <w:shd w:val="clear" w:color="auto" w:fill="auto"/>
            <w:vAlign w:val="center"/>
          </w:tcPr>
          <w:p w14:paraId="461B5FF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提供不少于6个千兆电接口,4个千兆光接口。（提供证明材料，如官网截图、产品彩页截图、第三方报告等）</w:t>
            </w:r>
          </w:p>
        </w:tc>
      </w:tr>
      <w:tr w14:paraId="30F3A758">
        <w:tblPrEx>
          <w:tblCellMar>
            <w:top w:w="0" w:type="dxa"/>
            <w:left w:w="108" w:type="dxa"/>
            <w:bottom w:w="0" w:type="dxa"/>
            <w:right w:w="108" w:type="dxa"/>
          </w:tblCellMar>
        </w:tblPrEx>
        <w:trPr>
          <w:trHeight w:val="930" w:hRule="atLeast"/>
        </w:trPr>
        <w:tc>
          <w:tcPr>
            <w:tcW w:w="366" w:type="pct"/>
            <w:vMerge w:val="continue"/>
            <w:tcBorders>
              <w:top w:val="nil"/>
              <w:left w:val="single" w:color="auto" w:sz="4" w:space="0"/>
              <w:bottom w:val="single" w:color="auto" w:sz="4" w:space="0"/>
              <w:right w:val="single" w:color="auto" w:sz="4" w:space="0"/>
            </w:tcBorders>
            <w:vAlign w:val="center"/>
          </w:tcPr>
          <w:p w14:paraId="58DA9D7C">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C883202">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464" w:type="pct"/>
            <w:tcBorders>
              <w:top w:val="nil"/>
              <w:left w:val="nil"/>
              <w:bottom w:val="single" w:color="auto" w:sz="4" w:space="0"/>
              <w:right w:val="single" w:color="auto" w:sz="4" w:space="0"/>
            </w:tcBorders>
            <w:shd w:val="clear" w:color="auto" w:fill="auto"/>
            <w:vAlign w:val="center"/>
          </w:tcPr>
          <w:p w14:paraId="54946090">
            <w:pPr>
              <w:widowControl/>
              <w:jc w:val="center"/>
              <w:rPr>
                <w:rFonts w:hint="eastAsia" w:ascii="宋体" w:hAnsi="宋体" w:cs="宋体"/>
                <w:kern w:val="0"/>
                <w:sz w:val="18"/>
                <w:szCs w:val="18"/>
              </w:rPr>
            </w:pPr>
            <w:r>
              <w:rPr>
                <w:rFonts w:hint="eastAsia" w:ascii="宋体" w:hAnsi="宋体" w:cs="宋体"/>
                <w:kern w:val="0"/>
                <w:sz w:val="18"/>
                <w:szCs w:val="18"/>
              </w:rPr>
              <w:t>硬件规格</w:t>
            </w:r>
          </w:p>
        </w:tc>
        <w:tc>
          <w:tcPr>
            <w:tcW w:w="3888" w:type="pct"/>
            <w:tcBorders>
              <w:top w:val="nil"/>
              <w:left w:val="nil"/>
              <w:bottom w:val="single" w:color="auto" w:sz="4" w:space="0"/>
              <w:right w:val="single" w:color="auto" w:sz="4" w:space="0"/>
            </w:tcBorders>
            <w:shd w:val="clear" w:color="auto" w:fill="auto"/>
            <w:vAlign w:val="center"/>
          </w:tcPr>
          <w:p w14:paraId="5398B5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配置冗余电源，支持热插拔，内存≥8GB，硬盘容量≥128G SSD。</w:t>
            </w:r>
          </w:p>
        </w:tc>
      </w:tr>
      <w:tr w14:paraId="6E4BE0B5">
        <w:tblPrEx>
          <w:tblCellMar>
            <w:top w:w="0" w:type="dxa"/>
            <w:left w:w="108" w:type="dxa"/>
            <w:bottom w:w="0" w:type="dxa"/>
            <w:right w:w="108" w:type="dxa"/>
          </w:tblCellMar>
        </w:tblPrEx>
        <w:trPr>
          <w:trHeight w:val="930" w:hRule="atLeast"/>
        </w:trPr>
        <w:tc>
          <w:tcPr>
            <w:tcW w:w="366" w:type="pct"/>
            <w:vMerge w:val="continue"/>
            <w:tcBorders>
              <w:top w:val="nil"/>
              <w:left w:val="single" w:color="auto" w:sz="4" w:space="0"/>
              <w:bottom w:val="single" w:color="auto" w:sz="4" w:space="0"/>
              <w:right w:val="single" w:color="auto" w:sz="4" w:space="0"/>
            </w:tcBorders>
            <w:vAlign w:val="center"/>
          </w:tcPr>
          <w:p w14:paraId="4BF9714A">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5E5F2E3">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464" w:type="pct"/>
            <w:tcBorders>
              <w:top w:val="nil"/>
              <w:left w:val="nil"/>
              <w:bottom w:val="single" w:color="auto" w:sz="4" w:space="0"/>
              <w:right w:val="single" w:color="auto" w:sz="4" w:space="0"/>
            </w:tcBorders>
            <w:shd w:val="clear" w:color="auto" w:fill="auto"/>
            <w:vAlign w:val="center"/>
          </w:tcPr>
          <w:p w14:paraId="5AC3B568">
            <w:pPr>
              <w:widowControl/>
              <w:jc w:val="center"/>
              <w:rPr>
                <w:rFonts w:hint="eastAsia" w:ascii="宋体" w:hAnsi="宋体" w:cs="宋体"/>
                <w:kern w:val="0"/>
                <w:sz w:val="18"/>
                <w:szCs w:val="18"/>
              </w:rPr>
            </w:pPr>
            <w:r>
              <w:rPr>
                <w:rFonts w:hint="eastAsia" w:ascii="宋体" w:hAnsi="宋体" w:cs="宋体"/>
                <w:kern w:val="0"/>
                <w:sz w:val="18"/>
                <w:szCs w:val="18"/>
              </w:rPr>
              <w:t>模块数量</w:t>
            </w:r>
          </w:p>
        </w:tc>
        <w:tc>
          <w:tcPr>
            <w:tcW w:w="3888" w:type="pct"/>
            <w:tcBorders>
              <w:top w:val="nil"/>
              <w:left w:val="nil"/>
              <w:bottom w:val="single" w:color="auto" w:sz="4" w:space="0"/>
              <w:right w:val="single" w:color="auto" w:sz="4" w:space="0"/>
            </w:tcBorders>
            <w:shd w:val="clear" w:color="auto" w:fill="auto"/>
            <w:vAlign w:val="center"/>
          </w:tcPr>
          <w:p w14:paraId="6604B47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单台设备模块数量：千兆多模光模块4个。（要求为中标品牌原厂模块）</w:t>
            </w:r>
          </w:p>
        </w:tc>
      </w:tr>
      <w:tr w14:paraId="6EA8A9FE">
        <w:tblPrEx>
          <w:tblCellMar>
            <w:top w:w="0" w:type="dxa"/>
            <w:left w:w="108" w:type="dxa"/>
            <w:bottom w:w="0" w:type="dxa"/>
            <w:right w:w="108" w:type="dxa"/>
          </w:tblCellMar>
        </w:tblPrEx>
        <w:trPr>
          <w:trHeight w:val="849" w:hRule="atLeast"/>
        </w:trPr>
        <w:tc>
          <w:tcPr>
            <w:tcW w:w="366" w:type="pct"/>
            <w:tcBorders>
              <w:top w:val="nil"/>
              <w:left w:val="single" w:color="auto" w:sz="4" w:space="0"/>
              <w:bottom w:val="single" w:color="auto" w:sz="4" w:space="0"/>
              <w:right w:val="single" w:color="auto" w:sz="4" w:space="0"/>
            </w:tcBorders>
            <w:shd w:val="clear" w:color="auto" w:fill="auto"/>
            <w:vAlign w:val="center"/>
          </w:tcPr>
          <w:p w14:paraId="4F570614">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282" w:type="pct"/>
            <w:tcBorders>
              <w:top w:val="nil"/>
              <w:left w:val="nil"/>
              <w:bottom w:val="single" w:color="auto" w:sz="4" w:space="0"/>
              <w:right w:val="single" w:color="auto" w:sz="4" w:space="0"/>
            </w:tcBorders>
            <w:shd w:val="clear" w:color="auto" w:fill="auto"/>
            <w:vAlign w:val="center"/>
          </w:tcPr>
          <w:p w14:paraId="11E2D9FB">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464" w:type="pct"/>
            <w:tcBorders>
              <w:top w:val="nil"/>
              <w:left w:val="nil"/>
              <w:bottom w:val="single" w:color="auto" w:sz="4" w:space="0"/>
              <w:right w:val="single" w:color="auto" w:sz="4" w:space="0"/>
            </w:tcBorders>
            <w:shd w:val="clear" w:color="auto" w:fill="auto"/>
            <w:vAlign w:val="center"/>
          </w:tcPr>
          <w:p w14:paraId="66A2841E">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3888" w:type="pct"/>
            <w:tcBorders>
              <w:top w:val="nil"/>
              <w:left w:val="nil"/>
              <w:bottom w:val="single" w:color="auto" w:sz="4" w:space="0"/>
              <w:right w:val="single" w:color="auto" w:sz="4" w:space="0"/>
            </w:tcBorders>
            <w:shd w:val="clear" w:color="auto" w:fill="auto"/>
            <w:vAlign w:val="center"/>
          </w:tcPr>
          <w:p w14:paraId="00D03F9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满足信创要求，CPU采用国产芯片，操作系统采用国产操作系统（提供第三方检测证明报告等证明材料）</w:t>
            </w:r>
          </w:p>
        </w:tc>
      </w:tr>
      <w:tr w14:paraId="037EEC0B">
        <w:tblPrEx>
          <w:tblCellMar>
            <w:top w:w="0" w:type="dxa"/>
            <w:left w:w="108" w:type="dxa"/>
            <w:bottom w:w="0" w:type="dxa"/>
            <w:right w:w="108" w:type="dxa"/>
          </w:tblCellMar>
        </w:tblPrEx>
        <w:trPr>
          <w:trHeight w:val="432" w:hRule="atLeast"/>
        </w:trPr>
        <w:tc>
          <w:tcPr>
            <w:tcW w:w="366" w:type="pct"/>
            <w:vMerge w:val="restart"/>
            <w:tcBorders>
              <w:top w:val="nil"/>
              <w:left w:val="single" w:color="auto" w:sz="4" w:space="0"/>
              <w:bottom w:val="single" w:color="auto" w:sz="4" w:space="0"/>
              <w:right w:val="single" w:color="auto" w:sz="4" w:space="0"/>
            </w:tcBorders>
            <w:shd w:val="clear" w:color="auto" w:fill="auto"/>
            <w:vAlign w:val="center"/>
          </w:tcPr>
          <w:p w14:paraId="0528D1A1">
            <w:pPr>
              <w:widowControl/>
              <w:jc w:val="center"/>
              <w:rPr>
                <w:rFonts w:hint="eastAsia" w:ascii="宋体" w:hAnsi="宋体" w:cs="宋体"/>
                <w:kern w:val="0"/>
                <w:sz w:val="18"/>
                <w:szCs w:val="18"/>
              </w:rPr>
            </w:pPr>
            <w:r>
              <w:rPr>
                <w:rFonts w:hint="eastAsia" w:ascii="宋体" w:hAnsi="宋体" w:cs="宋体"/>
                <w:kern w:val="0"/>
                <w:sz w:val="18"/>
                <w:szCs w:val="18"/>
              </w:rPr>
              <w:t>▲功能要求</w:t>
            </w:r>
          </w:p>
        </w:tc>
        <w:tc>
          <w:tcPr>
            <w:tcW w:w="282" w:type="pct"/>
            <w:tcBorders>
              <w:top w:val="nil"/>
              <w:left w:val="nil"/>
              <w:bottom w:val="single" w:color="auto" w:sz="4" w:space="0"/>
              <w:right w:val="single" w:color="auto" w:sz="4" w:space="0"/>
            </w:tcBorders>
            <w:shd w:val="clear" w:color="auto" w:fill="auto"/>
            <w:vAlign w:val="center"/>
          </w:tcPr>
          <w:p w14:paraId="474E5CC5">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464" w:type="pct"/>
            <w:tcBorders>
              <w:top w:val="nil"/>
              <w:left w:val="nil"/>
              <w:bottom w:val="single" w:color="auto" w:sz="4" w:space="0"/>
              <w:right w:val="single" w:color="auto" w:sz="4" w:space="0"/>
            </w:tcBorders>
            <w:shd w:val="clear" w:color="auto" w:fill="auto"/>
            <w:vAlign w:val="center"/>
          </w:tcPr>
          <w:p w14:paraId="60A26BA3">
            <w:pPr>
              <w:widowControl/>
              <w:jc w:val="center"/>
              <w:rPr>
                <w:rFonts w:hint="eastAsia" w:ascii="宋体" w:hAnsi="宋体" w:cs="宋体"/>
                <w:kern w:val="0"/>
                <w:sz w:val="18"/>
                <w:szCs w:val="18"/>
              </w:rPr>
            </w:pPr>
            <w:r>
              <w:rPr>
                <w:rFonts w:hint="eastAsia" w:ascii="宋体" w:hAnsi="宋体" w:cs="宋体"/>
                <w:kern w:val="0"/>
                <w:sz w:val="18"/>
                <w:szCs w:val="18"/>
              </w:rPr>
              <w:t>应用识别</w:t>
            </w:r>
          </w:p>
        </w:tc>
        <w:tc>
          <w:tcPr>
            <w:tcW w:w="3888" w:type="pct"/>
            <w:tcBorders>
              <w:top w:val="nil"/>
              <w:left w:val="nil"/>
              <w:bottom w:val="single" w:color="auto" w:sz="4" w:space="0"/>
              <w:right w:val="single" w:color="auto" w:sz="4" w:space="0"/>
            </w:tcBorders>
            <w:shd w:val="clear" w:color="auto" w:fill="auto"/>
            <w:vAlign w:val="center"/>
          </w:tcPr>
          <w:p w14:paraId="1AC9817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支持至少9000条以上的应用识别。（提供证明材料，如官网截图、产品功能截图、第三方权威检测报告等）</w:t>
            </w:r>
          </w:p>
        </w:tc>
      </w:tr>
      <w:tr w14:paraId="7BD7A4D0">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1F98D025">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DAC48C2">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464" w:type="pct"/>
            <w:tcBorders>
              <w:top w:val="nil"/>
              <w:left w:val="nil"/>
              <w:bottom w:val="single" w:color="auto" w:sz="4" w:space="0"/>
              <w:right w:val="single" w:color="auto" w:sz="4" w:space="0"/>
            </w:tcBorders>
            <w:shd w:val="clear" w:color="auto" w:fill="auto"/>
            <w:vAlign w:val="center"/>
          </w:tcPr>
          <w:p w14:paraId="25621AC5">
            <w:pPr>
              <w:widowControl/>
              <w:jc w:val="center"/>
              <w:rPr>
                <w:rFonts w:hint="eastAsia" w:ascii="宋体" w:hAnsi="宋体" w:cs="宋体"/>
                <w:kern w:val="0"/>
                <w:sz w:val="18"/>
                <w:szCs w:val="18"/>
              </w:rPr>
            </w:pPr>
            <w:r>
              <w:rPr>
                <w:rFonts w:hint="eastAsia" w:ascii="宋体" w:hAnsi="宋体" w:cs="宋体"/>
                <w:kern w:val="0"/>
                <w:sz w:val="18"/>
                <w:szCs w:val="18"/>
              </w:rPr>
              <w:t>VPN功能</w:t>
            </w:r>
          </w:p>
        </w:tc>
        <w:tc>
          <w:tcPr>
            <w:tcW w:w="3888" w:type="pct"/>
            <w:tcBorders>
              <w:top w:val="nil"/>
              <w:left w:val="nil"/>
              <w:bottom w:val="single" w:color="auto" w:sz="4" w:space="0"/>
              <w:right w:val="single" w:color="auto" w:sz="4" w:space="0"/>
            </w:tcBorders>
            <w:shd w:val="clear" w:color="auto" w:fill="auto"/>
            <w:vAlign w:val="center"/>
          </w:tcPr>
          <w:p w14:paraId="0AE80D6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支持IPsec VPN智能选路，根据隧道质量调度流量。（提供证明材料，如官网截图、产品功能截图、第三方权威检测报告等）</w:t>
            </w:r>
          </w:p>
        </w:tc>
      </w:tr>
      <w:tr w14:paraId="50AFD735">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667BD13E">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5BE4F9AD">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464" w:type="pct"/>
            <w:tcBorders>
              <w:top w:val="nil"/>
              <w:left w:val="nil"/>
              <w:bottom w:val="single" w:color="auto" w:sz="4" w:space="0"/>
              <w:right w:val="single" w:color="auto" w:sz="4" w:space="0"/>
            </w:tcBorders>
            <w:shd w:val="clear" w:color="auto" w:fill="auto"/>
            <w:vAlign w:val="center"/>
          </w:tcPr>
          <w:p w14:paraId="262FC9B1">
            <w:pPr>
              <w:widowControl/>
              <w:jc w:val="center"/>
              <w:rPr>
                <w:rFonts w:hint="eastAsia" w:ascii="宋体" w:hAnsi="宋体" w:cs="宋体"/>
                <w:kern w:val="0"/>
                <w:sz w:val="18"/>
                <w:szCs w:val="18"/>
              </w:rPr>
            </w:pPr>
            <w:r>
              <w:rPr>
                <w:rFonts w:hint="eastAsia" w:ascii="宋体" w:hAnsi="宋体" w:cs="宋体"/>
                <w:kern w:val="0"/>
                <w:sz w:val="18"/>
                <w:szCs w:val="18"/>
              </w:rPr>
              <w:t>会话控制</w:t>
            </w:r>
          </w:p>
        </w:tc>
        <w:tc>
          <w:tcPr>
            <w:tcW w:w="3888" w:type="pct"/>
            <w:tcBorders>
              <w:top w:val="nil"/>
              <w:left w:val="nil"/>
              <w:bottom w:val="single" w:color="auto" w:sz="4" w:space="0"/>
              <w:right w:val="single" w:color="auto" w:sz="4" w:space="0"/>
            </w:tcBorders>
            <w:shd w:val="clear" w:color="auto" w:fill="auto"/>
            <w:vAlign w:val="center"/>
          </w:tcPr>
          <w:p w14:paraId="62BDE97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产品执行基于IP对象的会话控制策略，实现并发和新建连接数的合理限制。（提供证明材料，如官网截图、产品彩页截图、第三方报告等）</w:t>
            </w:r>
          </w:p>
        </w:tc>
      </w:tr>
      <w:tr w14:paraId="34D95AEE">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7E097ECE">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B76A6EA">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29F3A986">
            <w:pPr>
              <w:widowControl/>
              <w:jc w:val="center"/>
              <w:rPr>
                <w:rFonts w:hint="eastAsia" w:ascii="宋体" w:hAnsi="宋体" w:cs="宋体"/>
                <w:kern w:val="0"/>
                <w:sz w:val="18"/>
                <w:szCs w:val="18"/>
              </w:rPr>
            </w:pPr>
            <w:r>
              <w:rPr>
                <w:rFonts w:hint="eastAsia" w:ascii="宋体" w:hAnsi="宋体" w:cs="宋体"/>
                <w:kern w:val="0"/>
                <w:sz w:val="18"/>
                <w:szCs w:val="18"/>
              </w:rPr>
              <w:t>入侵攻击防御</w:t>
            </w:r>
          </w:p>
        </w:tc>
        <w:tc>
          <w:tcPr>
            <w:tcW w:w="3888" w:type="pct"/>
            <w:tcBorders>
              <w:top w:val="nil"/>
              <w:left w:val="nil"/>
              <w:bottom w:val="single" w:color="auto" w:sz="4" w:space="0"/>
              <w:right w:val="single" w:color="auto" w:sz="4" w:space="0"/>
            </w:tcBorders>
            <w:shd w:val="clear" w:color="auto" w:fill="auto"/>
            <w:vAlign w:val="center"/>
          </w:tcPr>
          <w:p w14:paraId="1D6FEFA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支持超过16000条以上特征的攻击检测和防御。（提供证明材料，如官网截图、产品功能截图、第三方权威检测报告等）</w:t>
            </w:r>
          </w:p>
        </w:tc>
      </w:tr>
      <w:tr w14:paraId="620B0476">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74C2FB14">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0EF7E0AD">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464" w:type="pct"/>
            <w:vMerge w:val="continue"/>
            <w:tcBorders>
              <w:top w:val="nil"/>
              <w:left w:val="single" w:color="auto" w:sz="4" w:space="0"/>
              <w:bottom w:val="single" w:color="auto" w:sz="4" w:space="0"/>
              <w:right w:val="single" w:color="auto" w:sz="4" w:space="0"/>
            </w:tcBorders>
            <w:vAlign w:val="center"/>
          </w:tcPr>
          <w:p w14:paraId="2C04B9CE">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4707ED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产品支持基于IMAP、FTP、SSH、TELNET等应用协议进行深度检测与防护。（提供证明材料，如官网截图、产品彩页截图、第三方报告等）</w:t>
            </w:r>
          </w:p>
        </w:tc>
      </w:tr>
      <w:tr w14:paraId="21810C1D">
        <w:tblPrEx>
          <w:tblCellMar>
            <w:top w:w="0" w:type="dxa"/>
            <w:left w:w="108" w:type="dxa"/>
            <w:bottom w:w="0" w:type="dxa"/>
            <w:right w:w="108" w:type="dxa"/>
          </w:tblCellMar>
        </w:tblPrEx>
        <w:trPr>
          <w:trHeight w:val="432" w:hRule="atLeast"/>
        </w:trPr>
        <w:tc>
          <w:tcPr>
            <w:tcW w:w="366" w:type="pct"/>
            <w:vMerge w:val="continue"/>
            <w:tcBorders>
              <w:top w:val="nil"/>
              <w:left w:val="single" w:color="auto" w:sz="4" w:space="0"/>
              <w:bottom w:val="single" w:color="auto" w:sz="4" w:space="0"/>
              <w:right w:val="single" w:color="auto" w:sz="4" w:space="0"/>
            </w:tcBorders>
            <w:vAlign w:val="center"/>
          </w:tcPr>
          <w:p w14:paraId="0DE6913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E71341C">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464" w:type="pct"/>
            <w:vMerge w:val="continue"/>
            <w:tcBorders>
              <w:top w:val="nil"/>
              <w:left w:val="single" w:color="auto" w:sz="4" w:space="0"/>
              <w:bottom w:val="single" w:color="auto" w:sz="4" w:space="0"/>
              <w:right w:val="single" w:color="auto" w:sz="4" w:space="0"/>
            </w:tcBorders>
            <w:vAlign w:val="center"/>
          </w:tcPr>
          <w:p w14:paraId="3250E25A">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03EE6A6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产品支持僵尸主机检测功能。（提供证明材料，如官网截图、产品彩页截图、第三方报告等）</w:t>
            </w:r>
          </w:p>
        </w:tc>
      </w:tr>
      <w:tr w14:paraId="27C5E291">
        <w:tblPrEx>
          <w:tblCellMar>
            <w:top w:w="0" w:type="dxa"/>
            <w:left w:w="108" w:type="dxa"/>
            <w:bottom w:w="0" w:type="dxa"/>
            <w:right w:w="108" w:type="dxa"/>
          </w:tblCellMar>
        </w:tblPrEx>
        <w:trPr>
          <w:trHeight w:val="600" w:hRule="atLeast"/>
        </w:trPr>
        <w:tc>
          <w:tcPr>
            <w:tcW w:w="366" w:type="pct"/>
            <w:vMerge w:val="continue"/>
            <w:tcBorders>
              <w:top w:val="nil"/>
              <w:left w:val="single" w:color="auto" w:sz="4" w:space="0"/>
              <w:bottom w:val="single" w:color="auto" w:sz="4" w:space="0"/>
              <w:right w:val="single" w:color="auto" w:sz="4" w:space="0"/>
            </w:tcBorders>
            <w:vAlign w:val="center"/>
          </w:tcPr>
          <w:p w14:paraId="13A5BE1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149CD290">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7393402D">
            <w:pPr>
              <w:widowControl/>
              <w:jc w:val="center"/>
              <w:rPr>
                <w:rFonts w:hint="eastAsia" w:ascii="宋体" w:hAnsi="宋体" w:cs="宋体"/>
                <w:kern w:val="0"/>
                <w:sz w:val="18"/>
                <w:szCs w:val="18"/>
              </w:rPr>
            </w:pPr>
            <w:r>
              <w:rPr>
                <w:rFonts w:hint="eastAsia" w:ascii="宋体" w:hAnsi="宋体" w:cs="宋体"/>
                <w:kern w:val="0"/>
                <w:sz w:val="18"/>
                <w:szCs w:val="18"/>
              </w:rPr>
              <w:t>DDoS防护</w:t>
            </w:r>
          </w:p>
        </w:tc>
        <w:tc>
          <w:tcPr>
            <w:tcW w:w="3888" w:type="pct"/>
            <w:tcBorders>
              <w:top w:val="nil"/>
              <w:left w:val="nil"/>
              <w:bottom w:val="single" w:color="auto" w:sz="4" w:space="0"/>
              <w:right w:val="single" w:color="auto" w:sz="4" w:space="0"/>
            </w:tcBorders>
            <w:shd w:val="clear" w:color="auto" w:fill="auto"/>
            <w:vAlign w:val="center"/>
          </w:tcPr>
          <w:p w14:paraId="7CFEA0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产品支持对ICMP、UDP、DNS、SYN等协议进行DDOS防护。（提供证明材料，如官网截图、产品彩页截图、第三方报告等）</w:t>
            </w:r>
          </w:p>
        </w:tc>
      </w:tr>
      <w:tr w14:paraId="50CD7B91">
        <w:tblPrEx>
          <w:tblCellMar>
            <w:top w:w="0" w:type="dxa"/>
            <w:left w:w="108" w:type="dxa"/>
            <w:bottom w:w="0" w:type="dxa"/>
            <w:right w:w="108" w:type="dxa"/>
          </w:tblCellMar>
        </w:tblPrEx>
        <w:trPr>
          <w:trHeight w:val="1044" w:hRule="atLeast"/>
        </w:trPr>
        <w:tc>
          <w:tcPr>
            <w:tcW w:w="366" w:type="pct"/>
            <w:vMerge w:val="continue"/>
            <w:tcBorders>
              <w:top w:val="nil"/>
              <w:left w:val="single" w:color="auto" w:sz="4" w:space="0"/>
              <w:bottom w:val="single" w:color="auto" w:sz="4" w:space="0"/>
              <w:right w:val="single" w:color="auto" w:sz="4" w:space="0"/>
            </w:tcBorders>
            <w:vAlign w:val="center"/>
          </w:tcPr>
          <w:p w14:paraId="21FB5F9A">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62995AB1">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464" w:type="pct"/>
            <w:vMerge w:val="continue"/>
            <w:tcBorders>
              <w:top w:val="nil"/>
              <w:left w:val="single" w:color="auto" w:sz="4" w:space="0"/>
              <w:bottom w:val="single" w:color="auto" w:sz="4" w:space="0"/>
              <w:right w:val="single" w:color="auto" w:sz="4" w:space="0"/>
            </w:tcBorders>
            <w:vAlign w:val="center"/>
          </w:tcPr>
          <w:p w14:paraId="45B63C56">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60C97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产品支持异常数据包攻击防御，防护类型包括IP数据块分片传输防护、Teardrop攻击防护、Smurf攻击防护、Land攻击防护、WinNuke攻击防护等攻击类型。（提供证明材料，如官网截图、产品彩页截图、第三方报告等）</w:t>
            </w:r>
          </w:p>
        </w:tc>
      </w:tr>
      <w:tr w14:paraId="32D50D79">
        <w:tblPrEx>
          <w:tblCellMar>
            <w:top w:w="0" w:type="dxa"/>
            <w:left w:w="108" w:type="dxa"/>
            <w:bottom w:w="0" w:type="dxa"/>
            <w:right w:w="108" w:type="dxa"/>
          </w:tblCellMar>
        </w:tblPrEx>
        <w:trPr>
          <w:trHeight w:val="768" w:hRule="atLeast"/>
        </w:trPr>
        <w:tc>
          <w:tcPr>
            <w:tcW w:w="366" w:type="pct"/>
            <w:vMerge w:val="continue"/>
            <w:tcBorders>
              <w:top w:val="nil"/>
              <w:left w:val="single" w:color="auto" w:sz="4" w:space="0"/>
              <w:bottom w:val="single" w:color="auto" w:sz="4" w:space="0"/>
              <w:right w:val="single" w:color="auto" w:sz="4" w:space="0"/>
            </w:tcBorders>
            <w:vAlign w:val="center"/>
          </w:tcPr>
          <w:p w14:paraId="28C82127">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66A32BA">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6F2FAE20">
            <w:pPr>
              <w:widowControl/>
              <w:jc w:val="center"/>
              <w:rPr>
                <w:rFonts w:hint="eastAsia" w:ascii="宋体" w:hAnsi="宋体" w:cs="宋体"/>
                <w:kern w:val="0"/>
                <w:sz w:val="18"/>
                <w:szCs w:val="18"/>
              </w:rPr>
            </w:pPr>
            <w:r>
              <w:rPr>
                <w:rFonts w:hint="eastAsia" w:ascii="宋体" w:hAnsi="宋体" w:cs="宋体"/>
                <w:kern w:val="0"/>
                <w:sz w:val="18"/>
                <w:szCs w:val="18"/>
              </w:rPr>
              <w:t>防病毒</w:t>
            </w:r>
          </w:p>
        </w:tc>
        <w:tc>
          <w:tcPr>
            <w:tcW w:w="3888" w:type="pct"/>
            <w:tcBorders>
              <w:top w:val="nil"/>
              <w:left w:val="nil"/>
              <w:bottom w:val="single" w:color="auto" w:sz="4" w:space="0"/>
              <w:right w:val="single" w:color="auto" w:sz="4" w:space="0"/>
            </w:tcBorders>
            <w:shd w:val="clear" w:color="auto" w:fill="auto"/>
            <w:vAlign w:val="center"/>
          </w:tcPr>
          <w:p w14:paraId="7D5334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产品支持对SMTP、HTTP、FTP、SMB、POP3、HTTPS、IMAP等协议进行病毒防御。（提供证明材料，如官网截图、产品彩页截图、第三方报告等）</w:t>
            </w:r>
          </w:p>
        </w:tc>
      </w:tr>
      <w:tr w14:paraId="038CDF65">
        <w:tblPrEx>
          <w:tblCellMar>
            <w:top w:w="0" w:type="dxa"/>
            <w:left w:w="108" w:type="dxa"/>
            <w:bottom w:w="0" w:type="dxa"/>
            <w:right w:w="108" w:type="dxa"/>
          </w:tblCellMar>
        </w:tblPrEx>
        <w:trPr>
          <w:trHeight w:val="528" w:hRule="atLeast"/>
        </w:trPr>
        <w:tc>
          <w:tcPr>
            <w:tcW w:w="366" w:type="pct"/>
            <w:vMerge w:val="continue"/>
            <w:tcBorders>
              <w:top w:val="nil"/>
              <w:left w:val="single" w:color="auto" w:sz="4" w:space="0"/>
              <w:bottom w:val="single" w:color="auto" w:sz="4" w:space="0"/>
              <w:right w:val="single" w:color="auto" w:sz="4" w:space="0"/>
            </w:tcBorders>
            <w:vAlign w:val="center"/>
          </w:tcPr>
          <w:p w14:paraId="5834C0D0">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CC747DC">
            <w:pPr>
              <w:widowControl/>
              <w:jc w:val="center"/>
              <w:rPr>
                <w:rFonts w:hint="eastAsia" w:ascii="宋体" w:hAnsi="宋体" w:cs="宋体"/>
                <w:kern w:val="0"/>
                <w:sz w:val="18"/>
                <w:szCs w:val="18"/>
              </w:rPr>
            </w:pPr>
            <w:r>
              <w:rPr>
                <w:rFonts w:hint="eastAsia" w:ascii="宋体" w:hAnsi="宋体" w:cs="宋体"/>
                <w:kern w:val="0"/>
                <w:sz w:val="18"/>
                <w:szCs w:val="18"/>
              </w:rPr>
              <w:t>23</w:t>
            </w:r>
          </w:p>
        </w:tc>
        <w:tc>
          <w:tcPr>
            <w:tcW w:w="464" w:type="pct"/>
            <w:vMerge w:val="continue"/>
            <w:tcBorders>
              <w:top w:val="nil"/>
              <w:left w:val="single" w:color="auto" w:sz="4" w:space="0"/>
              <w:bottom w:val="single" w:color="auto" w:sz="4" w:space="0"/>
              <w:right w:val="single" w:color="auto" w:sz="4" w:space="0"/>
            </w:tcBorders>
            <w:vAlign w:val="center"/>
          </w:tcPr>
          <w:p w14:paraId="1BD034D0">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77B291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产品支持对压缩病毒文件进行检测和拦截，压缩层数支持15层及以上。（提供证明材料，如官网截图、产品彩页截图、第三方报告等）</w:t>
            </w:r>
          </w:p>
        </w:tc>
      </w:tr>
      <w:tr w14:paraId="025E8D28">
        <w:tblPrEx>
          <w:tblCellMar>
            <w:top w:w="0" w:type="dxa"/>
            <w:left w:w="108" w:type="dxa"/>
            <w:bottom w:w="0" w:type="dxa"/>
            <w:right w:w="108" w:type="dxa"/>
          </w:tblCellMar>
        </w:tblPrEx>
        <w:trPr>
          <w:trHeight w:val="756" w:hRule="atLeast"/>
        </w:trPr>
        <w:tc>
          <w:tcPr>
            <w:tcW w:w="366" w:type="pct"/>
            <w:vMerge w:val="continue"/>
            <w:tcBorders>
              <w:top w:val="nil"/>
              <w:left w:val="single" w:color="auto" w:sz="4" w:space="0"/>
              <w:bottom w:val="single" w:color="auto" w:sz="4" w:space="0"/>
              <w:right w:val="single" w:color="auto" w:sz="4" w:space="0"/>
            </w:tcBorders>
            <w:vAlign w:val="center"/>
          </w:tcPr>
          <w:p w14:paraId="1E5D1732">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A65E07B">
            <w:pPr>
              <w:widowControl/>
              <w:jc w:val="center"/>
              <w:rPr>
                <w:rFonts w:hint="eastAsia" w:ascii="宋体" w:hAnsi="宋体" w:cs="宋体"/>
                <w:kern w:val="0"/>
                <w:sz w:val="18"/>
                <w:szCs w:val="18"/>
              </w:rPr>
            </w:pPr>
            <w:r>
              <w:rPr>
                <w:rFonts w:hint="eastAsia" w:ascii="宋体" w:hAnsi="宋体" w:cs="宋体"/>
                <w:kern w:val="0"/>
                <w:sz w:val="18"/>
                <w:szCs w:val="18"/>
              </w:rPr>
              <w:t>24</w:t>
            </w:r>
          </w:p>
        </w:tc>
        <w:tc>
          <w:tcPr>
            <w:tcW w:w="464" w:type="pct"/>
            <w:vMerge w:val="continue"/>
            <w:tcBorders>
              <w:top w:val="nil"/>
              <w:left w:val="single" w:color="auto" w:sz="4" w:space="0"/>
              <w:bottom w:val="single" w:color="auto" w:sz="4" w:space="0"/>
              <w:right w:val="single" w:color="auto" w:sz="4" w:space="0"/>
            </w:tcBorders>
            <w:vAlign w:val="center"/>
          </w:tcPr>
          <w:p w14:paraId="54F102CA">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23F5221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产品支持杀毒白名单设置，可以例外排除特定MD5和URL的病毒文件，针对特定文件不进行查杀。（提供证明材料，如官网截图、产品彩页截图、第三方报告等）</w:t>
            </w:r>
          </w:p>
        </w:tc>
      </w:tr>
      <w:tr w14:paraId="338F64E3">
        <w:tblPrEx>
          <w:tblCellMar>
            <w:top w:w="0" w:type="dxa"/>
            <w:left w:w="108" w:type="dxa"/>
            <w:bottom w:w="0" w:type="dxa"/>
            <w:right w:w="108" w:type="dxa"/>
          </w:tblCellMar>
        </w:tblPrEx>
        <w:trPr>
          <w:trHeight w:val="888" w:hRule="atLeast"/>
        </w:trPr>
        <w:tc>
          <w:tcPr>
            <w:tcW w:w="366" w:type="pct"/>
            <w:vMerge w:val="continue"/>
            <w:tcBorders>
              <w:top w:val="nil"/>
              <w:left w:val="single" w:color="auto" w:sz="4" w:space="0"/>
              <w:bottom w:val="single" w:color="auto" w:sz="4" w:space="0"/>
              <w:right w:val="single" w:color="auto" w:sz="4" w:space="0"/>
            </w:tcBorders>
            <w:vAlign w:val="center"/>
          </w:tcPr>
          <w:p w14:paraId="4092580F">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4D5F6583">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464" w:type="pct"/>
            <w:vMerge w:val="continue"/>
            <w:tcBorders>
              <w:top w:val="nil"/>
              <w:left w:val="single" w:color="auto" w:sz="4" w:space="0"/>
              <w:bottom w:val="single" w:color="auto" w:sz="4" w:space="0"/>
              <w:right w:val="single" w:color="auto" w:sz="4" w:space="0"/>
            </w:tcBorders>
            <w:vAlign w:val="center"/>
          </w:tcPr>
          <w:p w14:paraId="45E084A9">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1D6A2F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产品支持勒索病毒检测与防御功能，需提供产品功能截图证明。（需提供产品功能截图证明并提供官方检测机构出具关于“勒索病毒”的证书或检测报告证明功能有效性）。</w:t>
            </w:r>
          </w:p>
        </w:tc>
      </w:tr>
      <w:tr w14:paraId="07A0BA2C">
        <w:tblPrEx>
          <w:tblCellMar>
            <w:top w:w="0" w:type="dxa"/>
            <w:left w:w="108" w:type="dxa"/>
            <w:bottom w:w="0" w:type="dxa"/>
            <w:right w:w="108" w:type="dxa"/>
          </w:tblCellMar>
        </w:tblPrEx>
        <w:trPr>
          <w:trHeight w:val="996" w:hRule="atLeast"/>
        </w:trPr>
        <w:tc>
          <w:tcPr>
            <w:tcW w:w="366" w:type="pct"/>
            <w:vMerge w:val="continue"/>
            <w:tcBorders>
              <w:top w:val="nil"/>
              <w:left w:val="single" w:color="auto" w:sz="4" w:space="0"/>
              <w:bottom w:val="single" w:color="auto" w:sz="4" w:space="0"/>
              <w:right w:val="single" w:color="auto" w:sz="4" w:space="0"/>
            </w:tcBorders>
            <w:vAlign w:val="center"/>
          </w:tcPr>
          <w:p w14:paraId="7FA75B21">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D7541B1">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464" w:type="pct"/>
            <w:vMerge w:val="restart"/>
            <w:tcBorders>
              <w:top w:val="nil"/>
              <w:left w:val="single" w:color="auto" w:sz="4" w:space="0"/>
              <w:bottom w:val="single" w:color="auto" w:sz="4" w:space="0"/>
              <w:right w:val="single" w:color="auto" w:sz="4" w:space="0"/>
            </w:tcBorders>
            <w:shd w:val="clear" w:color="auto" w:fill="auto"/>
            <w:vAlign w:val="center"/>
          </w:tcPr>
          <w:p w14:paraId="10A05597">
            <w:pPr>
              <w:widowControl/>
              <w:jc w:val="center"/>
              <w:rPr>
                <w:rFonts w:hint="eastAsia" w:ascii="宋体" w:hAnsi="宋体" w:cs="宋体"/>
                <w:kern w:val="0"/>
                <w:sz w:val="18"/>
                <w:szCs w:val="18"/>
              </w:rPr>
            </w:pPr>
            <w:r>
              <w:rPr>
                <w:rFonts w:hint="eastAsia" w:ascii="宋体" w:hAnsi="宋体" w:cs="宋体"/>
                <w:kern w:val="0"/>
                <w:sz w:val="18"/>
                <w:szCs w:val="18"/>
              </w:rPr>
              <w:t>Web应用防御</w:t>
            </w:r>
          </w:p>
        </w:tc>
        <w:tc>
          <w:tcPr>
            <w:tcW w:w="3888" w:type="pct"/>
            <w:tcBorders>
              <w:top w:val="nil"/>
              <w:left w:val="nil"/>
              <w:bottom w:val="single" w:color="auto" w:sz="4" w:space="0"/>
              <w:right w:val="single" w:color="auto" w:sz="4" w:space="0"/>
            </w:tcBorders>
            <w:shd w:val="clear" w:color="auto" w:fill="auto"/>
            <w:vAlign w:val="center"/>
          </w:tcPr>
          <w:p w14:paraId="6705CC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内置超过4500种web应用攻击特征。支持对跨站脚本（XSS）攻击、SQL注入、文件包含攻击、信息泄露攻击、WEBSHELL、网站扫描、网页木马等攻击类型进行防护。（提供证明材料，如官网截图、产品彩页截图、第三方报告等）</w:t>
            </w:r>
          </w:p>
        </w:tc>
      </w:tr>
      <w:tr w14:paraId="0F0B6700">
        <w:tblPrEx>
          <w:tblCellMar>
            <w:top w:w="0" w:type="dxa"/>
            <w:left w:w="108" w:type="dxa"/>
            <w:bottom w:w="0" w:type="dxa"/>
            <w:right w:w="108" w:type="dxa"/>
          </w:tblCellMar>
        </w:tblPrEx>
        <w:trPr>
          <w:trHeight w:val="672" w:hRule="atLeast"/>
        </w:trPr>
        <w:tc>
          <w:tcPr>
            <w:tcW w:w="366" w:type="pct"/>
            <w:vMerge w:val="continue"/>
            <w:tcBorders>
              <w:top w:val="nil"/>
              <w:left w:val="single" w:color="auto" w:sz="4" w:space="0"/>
              <w:bottom w:val="single" w:color="auto" w:sz="4" w:space="0"/>
              <w:right w:val="single" w:color="auto" w:sz="4" w:space="0"/>
            </w:tcBorders>
            <w:vAlign w:val="center"/>
          </w:tcPr>
          <w:p w14:paraId="33DF2CF6">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6F87AAF">
            <w:pPr>
              <w:widowControl/>
              <w:jc w:val="center"/>
              <w:rPr>
                <w:rFonts w:hint="eastAsia" w:ascii="宋体" w:hAnsi="宋体" w:cs="宋体"/>
                <w:kern w:val="0"/>
                <w:sz w:val="18"/>
                <w:szCs w:val="18"/>
              </w:rPr>
            </w:pPr>
            <w:r>
              <w:rPr>
                <w:rFonts w:hint="eastAsia" w:ascii="宋体" w:hAnsi="宋体" w:cs="宋体"/>
                <w:kern w:val="0"/>
                <w:sz w:val="18"/>
                <w:szCs w:val="18"/>
              </w:rPr>
              <w:t>27</w:t>
            </w:r>
          </w:p>
        </w:tc>
        <w:tc>
          <w:tcPr>
            <w:tcW w:w="464" w:type="pct"/>
            <w:vMerge w:val="continue"/>
            <w:tcBorders>
              <w:top w:val="nil"/>
              <w:left w:val="single" w:color="auto" w:sz="4" w:space="0"/>
              <w:bottom w:val="single" w:color="auto" w:sz="4" w:space="0"/>
              <w:right w:val="single" w:color="auto" w:sz="4" w:space="0"/>
            </w:tcBorders>
            <w:vAlign w:val="center"/>
          </w:tcPr>
          <w:p w14:paraId="1D06F3F1">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6C9963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产品支持X-Forworded-For字段检测，并对非法源IP进行日志记录。（提供证明材料，如官网截图、产品彩页截图、第三方报告等）</w:t>
            </w:r>
          </w:p>
        </w:tc>
      </w:tr>
      <w:tr w14:paraId="50695FE0">
        <w:tblPrEx>
          <w:tblCellMar>
            <w:top w:w="0" w:type="dxa"/>
            <w:left w:w="108" w:type="dxa"/>
            <w:bottom w:w="0" w:type="dxa"/>
            <w:right w:w="108" w:type="dxa"/>
          </w:tblCellMar>
        </w:tblPrEx>
        <w:trPr>
          <w:trHeight w:val="744" w:hRule="atLeast"/>
        </w:trPr>
        <w:tc>
          <w:tcPr>
            <w:tcW w:w="366" w:type="pct"/>
            <w:vMerge w:val="continue"/>
            <w:tcBorders>
              <w:top w:val="nil"/>
              <w:left w:val="single" w:color="auto" w:sz="4" w:space="0"/>
              <w:bottom w:val="single" w:color="auto" w:sz="4" w:space="0"/>
              <w:right w:val="single" w:color="auto" w:sz="4" w:space="0"/>
            </w:tcBorders>
            <w:vAlign w:val="center"/>
          </w:tcPr>
          <w:p w14:paraId="68523F4B">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23962C5D">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464" w:type="pct"/>
            <w:vMerge w:val="continue"/>
            <w:tcBorders>
              <w:top w:val="nil"/>
              <w:left w:val="single" w:color="auto" w:sz="4" w:space="0"/>
              <w:bottom w:val="single" w:color="auto" w:sz="4" w:space="0"/>
              <w:right w:val="single" w:color="auto" w:sz="4" w:space="0"/>
            </w:tcBorders>
            <w:vAlign w:val="center"/>
          </w:tcPr>
          <w:p w14:paraId="0017211E">
            <w:pPr>
              <w:widowControl/>
              <w:jc w:val="left"/>
              <w:rPr>
                <w:rFonts w:hint="eastAsia" w:ascii="宋体" w:hAnsi="宋体" w:cs="宋体"/>
                <w:kern w:val="0"/>
                <w:sz w:val="18"/>
                <w:szCs w:val="18"/>
              </w:rPr>
            </w:pPr>
          </w:p>
        </w:tc>
        <w:tc>
          <w:tcPr>
            <w:tcW w:w="3888" w:type="pct"/>
            <w:tcBorders>
              <w:top w:val="nil"/>
              <w:left w:val="nil"/>
              <w:bottom w:val="single" w:color="auto" w:sz="4" w:space="0"/>
              <w:right w:val="single" w:color="auto" w:sz="4" w:space="0"/>
            </w:tcBorders>
            <w:shd w:val="clear" w:color="auto" w:fill="auto"/>
            <w:vAlign w:val="center"/>
          </w:tcPr>
          <w:p w14:paraId="05F59F5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产品支持服务器漏洞防扫描功能，并对扫描源IP进行日志记录。（提供证明材料，如官网截图、产品彩页截图、第三方报告等）</w:t>
            </w:r>
          </w:p>
        </w:tc>
      </w:tr>
      <w:tr w14:paraId="5880549A">
        <w:tblPrEx>
          <w:tblCellMar>
            <w:top w:w="0" w:type="dxa"/>
            <w:left w:w="108" w:type="dxa"/>
            <w:bottom w:w="0" w:type="dxa"/>
            <w:right w:w="108" w:type="dxa"/>
          </w:tblCellMar>
        </w:tblPrEx>
        <w:trPr>
          <w:trHeight w:val="2049" w:hRule="atLeast"/>
        </w:trPr>
        <w:tc>
          <w:tcPr>
            <w:tcW w:w="366" w:type="pct"/>
            <w:vMerge w:val="continue"/>
            <w:tcBorders>
              <w:top w:val="nil"/>
              <w:left w:val="single" w:color="auto" w:sz="4" w:space="0"/>
              <w:bottom w:val="single" w:color="auto" w:sz="4" w:space="0"/>
              <w:right w:val="single" w:color="auto" w:sz="4" w:space="0"/>
            </w:tcBorders>
            <w:vAlign w:val="center"/>
          </w:tcPr>
          <w:p w14:paraId="334B5D10">
            <w:pPr>
              <w:widowControl/>
              <w:jc w:val="left"/>
              <w:rPr>
                <w:rFonts w:hint="eastAsia" w:ascii="宋体" w:hAnsi="宋体" w:cs="宋体"/>
                <w:kern w:val="0"/>
                <w:sz w:val="18"/>
                <w:szCs w:val="18"/>
              </w:rPr>
            </w:pPr>
          </w:p>
        </w:tc>
        <w:tc>
          <w:tcPr>
            <w:tcW w:w="282" w:type="pct"/>
            <w:tcBorders>
              <w:top w:val="nil"/>
              <w:left w:val="nil"/>
              <w:bottom w:val="single" w:color="auto" w:sz="4" w:space="0"/>
              <w:right w:val="single" w:color="auto" w:sz="4" w:space="0"/>
            </w:tcBorders>
            <w:shd w:val="clear" w:color="auto" w:fill="auto"/>
            <w:vAlign w:val="center"/>
          </w:tcPr>
          <w:p w14:paraId="778067C2">
            <w:pPr>
              <w:widowControl/>
              <w:jc w:val="center"/>
              <w:rPr>
                <w:rFonts w:hint="eastAsia" w:ascii="宋体" w:hAnsi="宋体" w:cs="宋体"/>
                <w:kern w:val="0"/>
                <w:sz w:val="18"/>
                <w:szCs w:val="18"/>
              </w:rPr>
            </w:pPr>
            <w:r>
              <w:rPr>
                <w:rFonts w:hint="eastAsia" w:ascii="宋体" w:hAnsi="宋体" w:cs="宋体"/>
                <w:kern w:val="0"/>
                <w:sz w:val="18"/>
                <w:szCs w:val="18"/>
              </w:rPr>
              <w:t>29</w:t>
            </w:r>
          </w:p>
        </w:tc>
        <w:tc>
          <w:tcPr>
            <w:tcW w:w="464" w:type="pct"/>
            <w:tcBorders>
              <w:top w:val="nil"/>
              <w:left w:val="nil"/>
              <w:bottom w:val="single" w:color="auto" w:sz="4" w:space="0"/>
              <w:right w:val="single" w:color="auto" w:sz="4" w:space="0"/>
            </w:tcBorders>
            <w:shd w:val="clear" w:color="auto" w:fill="auto"/>
            <w:vAlign w:val="center"/>
          </w:tcPr>
          <w:p w14:paraId="4A5733E8">
            <w:pPr>
              <w:widowControl/>
              <w:jc w:val="center"/>
              <w:rPr>
                <w:rFonts w:hint="eastAsia" w:ascii="宋体" w:hAnsi="宋体" w:cs="宋体"/>
                <w:kern w:val="0"/>
                <w:sz w:val="18"/>
                <w:szCs w:val="18"/>
              </w:rPr>
            </w:pPr>
            <w:r>
              <w:rPr>
                <w:rFonts w:hint="eastAsia" w:ascii="宋体" w:hAnsi="宋体" w:cs="宋体"/>
                <w:kern w:val="0"/>
                <w:sz w:val="18"/>
                <w:szCs w:val="18"/>
              </w:rPr>
              <w:t>管理服务</w:t>
            </w:r>
          </w:p>
        </w:tc>
        <w:tc>
          <w:tcPr>
            <w:tcW w:w="3888" w:type="pct"/>
            <w:tcBorders>
              <w:top w:val="nil"/>
              <w:left w:val="nil"/>
              <w:bottom w:val="single" w:color="auto" w:sz="4" w:space="0"/>
              <w:right w:val="single" w:color="auto" w:sz="4" w:space="0"/>
            </w:tcBorders>
            <w:shd w:val="clear" w:color="auto" w:fill="auto"/>
            <w:vAlign w:val="center"/>
          </w:tcPr>
          <w:p w14:paraId="4A80278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在总部为分支机构上网行为管理设备搭建统一管理平台及提供所有终端的管理授权。</w:t>
            </w:r>
          </w:p>
        </w:tc>
      </w:tr>
    </w:tbl>
    <w:p w14:paraId="11122157">
      <w:pPr>
        <w:pStyle w:val="18"/>
        <w:ind w:left="0" w:leftChars="0" w:firstLine="0" w:firstLineChars="0"/>
      </w:pPr>
    </w:p>
    <w:p w14:paraId="674643A9">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3.4.</w:t>
      </w:r>
      <w:r>
        <w:rPr>
          <w:rFonts w:asciiTheme="minorEastAsia" w:hAnsiTheme="minorEastAsia" w:eastAsiaTheme="minorEastAsia"/>
          <w:sz w:val="24"/>
          <w:szCs w:val="24"/>
        </w:rPr>
        <w:t>2</w:t>
      </w:r>
      <w:r>
        <w:rPr>
          <w:rFonts w:hint="eastAsia" w:ascii="宋体" w:hAnsi="宋体" w:cs="仿宋"/>
          <w:sz w:val="24"/>
          <w:szCs w:val="21"/>
        </w:rPr>
        <w:t>上网行为管理设备</w:t>
      </w:r>
      <w:r>
        <w:rPr>
          <w:rFonts w:hint="eastAsia" w:asciiTheme="minorEastAsia" w:hAnsiTheme="minorEastAsia" w:eastAsiaTheme="minorEastAsia"/>
          <w:sz w:val="24"/>
          <w:szCs w:val="24"/>
        </w:rPr>
        <w:t>（34台）</w:t>
      </w:r>
    </w:p>
    <w:p w14:paraId="57A4B3E0">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34台</w:t>
      </w:r>
      <w:r>
        <w:rPr>
          <w:rFonts w:hint="eastAsia" w:ascii="宋体" w:hAnsi="宋体" w:cs="仿宋"/>
          <w:szCs w:val="21"/>
        </w:rPr>
        <w:t>上网行为管理设备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474"/>
        <w:gridCol w:w="781"/>
        <w:gridCol w:w="6651"/>
      </w:tblGrid>
      <w:tr w14:paraId="430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gridSpan w:val="4"/>
            <w:shd w:val="clear" w:color="auto" w:fill="auto"/>
            <w:vAlign w:val="center"/>
          </w:tcPr>
          <w:p w14:paraId="77D1B439">
            <w:pPr>
              <w:widowControl/>
              <w:jc w:val="center"/>
              <w:rPr>
                <w:rFonts w:hint="eastAsia" w:ascii="等线" w:hAnsi="等线" w:eastAsia="等线" w:cs="宋体"/>
                <w:b/>
                <w:bCs/>
                <w:kern w:val="0"/>
                <w:sz w:val="32"/>
                <w:szCs w:val="32"/>
              </w:rPr>
            </w:pPr>
            <w:r>
              <w:rPr>
                <w:rFonts w:hint="eastAsia" w:ascii="等线" w:hAnsi="等线" w:eastAsia="等线" w:cs="宋体"/>
                <w:b/>
                <w:bCs/>
                <w:kern w:val="0"/>
                <w:sz w:val="32"/>
                <w:szCs w:val="32"/>
              </w:rPr>
              <w:t>上网行为管理设备（分支机构IPSECVPN接入设备）共34台</w:t>
            </w:r>
          </w:p>
        </w:tc>
      </w:tr>
      <w:tr w14:paraId="1801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shd w:val="clear" w:color="auto" w:fill="auto"/>
            <w:vAlign w:val="center"/>
          </w:tcPr>
          <w:p w14:paraId="1385C5E9">
            <w:pPr>
              <w:widowControl/>
              <w:jc w:val="center"/>
              <w:rPr>
                <w:rFonts w:hint="eastAsia" w:ascii="宋体" w:hAnsi="宋体" w:cs="宋体"/>
                <w:b/>
                <w:bCs/>
                <w:kern w:val="0"/>
                <w:sz w:val="20"/>
                <w:szCs w:val="20"/>
              </w:rPr>
            </w:pPr>
            <w:r>
              <w:rPr>
                <w:rFonts w:hint="eastAsia" w:ascii="宋体" w:hAnsi="宋体" w:cs="宋体"/>
                <w:b/>
                <w:bCs/>
                <w:kern w:val="0"/>
                <w:sz w:val="20"/>
                <w:szCs w:val="20"/>
              </w:rPr>
              <w:t>类别</w:t>
            </w:r>
          </w:p>
        </w:tc>
        <w:tc>
          <w:tcPr>
            <w:tcW w:w="0" w:type="auto"/>
            <w:shd w:val="clear" w:color="auto" w:fill="auto"/>
            <w:vAlign w:val="center"/>
          </w:tcPr>
          <w:p w14:paraId="0D2A65D8">
            <w:pPr>
              <w:widowControl/>
              <w:jc w:val="center"/>
              <w:rPr>
                <w:rFonts w:hint="eastAsia" w:ascii="宋体" w:hAnsi="宋体" w:cs="宋体"/>
                <w:b/>
                <w:bCs/>
                <w:kern w:val="0"/>
                <w:sz w:val="20"/>
                <w:szCs w:val="20"/>
              </w:rPr>
            </w:pPr>
            <w:r>
              <w:rPr>
                <w:rFonts w:hint="eastAsia" w:ascii="宋体" w:hAnsi="宋体" w:cs="宋体"/>
                <w:b/>
                <w:bCs/>
                <w:kern w:val="0"/>
                <w:sz w:val="20"/>
                <w:szCs w:val="20"/>
              </w:rPr>
              <w:t>序号</w:t>
            </w:r>
          </w:p>
        </w:tc>
        <w:tc>
          <w:tcPr>
            <w:tcW w:w="0" w:type="auto"/>
            <w:shd w:val="clear" w:color="auto" w:fill="auto"/>
            <w:vAlign w:val="center"/>
          </w:tcPr>
          <w:p w14:paraId="75DB6A13">
            <w:pPr>
              <w:widowControl/>
              <w:jc w:val="center"/>
              <w:rPr>
                <w:rFonts w:hint="eastAsia" w:ascii="宋体" w:hAnsi="宋体" w:cs="宋体"/>
                <w:b/>
                <w:bCs/>
                <w:kern w:val="0"/>
                <w:sz w:val="20"/>
                <w:szCs w:val="20"/>
              </w:rPr>
            </w:pPr>
            <w:r>
              <w:rPr>
                <w:rFonts w:hint="eastAsia" w:ascii="宋体" w:hAnsi="宋体" w:cs="宋体"/>
                <w:b/>
                <w:bCs/>
                <w:kern w:val="0"/>
                <w:sz w:val="20"/>
                <w:szCs w:val="20"/>
              </w:rPr>
              <w:t>要求项</w:t>
            </w:r>
          </w:p>
        </w:tc>
        <w:tc>
          <w:tcPr>
            <w:tcW w:w="0" w:type="auto"/>
            <w:shd w:val="clear" w:color="auto" w:fill="auto"/>
            <w:vAlign w:val="center"/>
          </w:tcPr>
          <w:p w14:paraId="6117D1E4">
            <w:pPr>
              <w:widowControl/>
              <w:jc w:val="center"/>
              <w:rPr>
                <w:rFonts w:hint="eastAsia" w:ascii="宋体" w:hAnsi="宋体" w:cs="宋体"/>
                <w:b/>
                <w:bCs/>
                <w:kern w:val="0"/>
                <w:sz w:val="20"/>
                <w:szCs w:val="20"/>
              </w:rPr>
            </w:pPr>
            <w:r>
              <w:rPr>
                <w:rFonts w:hint="eastAsia" w:ascii="宋体" w:hAnsi="宋体" w:cs="宋体"/>
                <w:b/>
                <w:bCs/>
                <w:kern w:val="0"/>
                <w:sz w:val="20"/>
                <w:szCs w:val="20"/>
              </w:rPr>
              <w:t>要求明细</w:t>
            </w:r>
          </w:p>
        </w:tc>
      </w:tr>
      <w:tr w14:paraId="20F1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0" w:type="auto"/>
            <w:vMerge w:val="restart"/>
            <w:shd w:val="clear" w:color="auto" w:fill="auto"/>
            <w:vAlign w:val="center"/>
          </w:tcPr>
          <w:p w14:paraId="7E71E81D">
            <w:pPr>
              <w:widowControl/>
              <w:jc w:val="center"/>
              <w:rPr>
                <w:rFonts w:hint="eastAsia" w:ascii="宋体" w:hAnsi="宋体" w:cs="宋体"/>
                <w:kern w:val="0"/>
                <w:sz w:val="18"/>
                <w:szCs w:val="18"/>
              </w:rPr>
            </w:pPr>
            <w:r>
              <w:rPr>
                <w:rFonts w:hint="eastAsia" w:ascii="宋体" w:hAnsi="宋体" w:cs="宋体"/>
                <w:kern w:val="0"/>
                <w:sz w:val="18"/>
                <w:szCs w:val="18"/>
              </w:rPr>
              <w:t>★基础要求</w:t>
            </w:r>
          </w:p>
        </w:tc>
        <w:tc>
          <w:tcPr>
            <w:tcW w:w="0" w:type="auto"/>
            <w:shd w:val="clear" w:color="auto" w:fill="auto"/>
            <w:vAlign w:val="center"/>
          </w:tcPr>
          <w:p w14:paraId="526A7820">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0" w:type="auto"/>
            <w:shd w:val="clear" w:color="auto" w:fill="auto"/>
            <w:vAlign w:val="center"/>
          </w:tcPr>
          <w:p w14:paraId="4535149B">
            <w:pPr>
              <w:widowControl/>
              <w:jc w:val="center"/>
              <w:rPr>
                <w:rFonts w:hint="eastAsia" w:ascii="宋体" w:hAnsi="宋体" w:cs="宋体"/>
                <w:kern w:val="0"/>
                <w:sz w:val="18"/>
                <w:szCs w:val="18"/>
              </w:rPr>
            </w:pPr>
            <w:r>
              <w:rPr>
                <w:rFonts w:hint="eastAsia" w:ascii="宋体" w:hAnsi="宋体" w:cs="宋体"/>
                <w:kern w:val="0"/>
                <w:sz w:val="18"/>
                <w:szCs w:val="18"/>
              </w:rPr>
              <w:t>案例要求</w:t>
            </w:r>
          </w:p>
        </w:tc>
        <w:tc>
          <w:tcPr>
            <w:tcW w:w="0" w:type="auto"/>
            <w:shd w:val="clear" w:color="auto" w:fill="auto"/>
            <w:vAlign w:val="center"/>
          </w:tcPr>
          <w:p w14:paraId="5EEC6C40">
            <w:pPr>
              <w:widowControl/>
              <w:jc w:val="left"/>
              <w:rPr>
                <w:rFonts w:hint="eastAsia" w:ascii="宋体" w:hAnsi="宋体" w:cs="宋体"/>
                <w:kern w:val="0"/>
                <w:sz w:val="18"/>
                <w:szCs w:val="18"/>
              </w:rPr>
            </w:pPr>
            <w:r>
              <w:rPr>
                <w:rFonts w:hint="eastAsia" w:ascii="宋体" w:hAnsi="宋体" w:cs="宋体"/>
                <w:kern w:val="0"/>
                <w:sz w:val="18"/>
                <w:szCs w:val="18"/>
              </w:rPr>
              <w:t>所投产品系列在金融行业有实际部署案例</w:t>
            </w:r>
          </w:p>
        </w:tc>
      </w:tr>
      <w:tr w14:paraId="0C6E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0AE6272">
            <w:pPr>
              <w:widowControl/>
              <w:jc w:val="left"/>
              <w:rPr>
                <w:rFonts w:hint="eastAsia" w:ascii="宋体" w:hAnsi="宋体" w:cs="宋体"/>
                <w:kern w:val="0"/>
                <w:sz w:val="18"/>
                <w:szCs w:val="18"/>
              </w:rPr>
            </w:pPr>
          </w:p>
        </w:tc>
        <w:tc>
          <w:tcPr>
            <w:tcW w:w="0" w:type="auto"/>
            <w:shd w:val="clear" w:color="auto" w:fill="auto"/>
            <w:vAlign w:val="center"/>
          </w:tcPr>
          <w:p w14:paraId="74ECF080">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0" w:type="auto"/>
            <w:vMerge w:val="restart"/>
            <w:shd w:val="clear" w:color="auto" w:fill="auto"/>
            <w:vAlign w:val="center"/>
          </w:tcPr>
          <w:p w14:paraId="4EFA51A0">
            <w:pPr>
              <w:widowControl/>
              <w:jc w:val="center"/>
              <w:rPr>
                <w:rFonts w:hint="eastAsia" w:ascii="宋体" w:hAnsi="宋体" w:cs="宋体"/>
                <w:kern w:val="0"/>
                <w:sz w:val="18"/>
                <w:szCs w:val="18"/>
              </w:rPr>
            </w:pPr>
            <w:r>
              <w:rPr>
                <w:rFonts w:hint="eastAsia" w:ascii="宋体" w:hAnsi="宋体" w:cs="宋体"/>
                <w:kern w:val="0"/>
                <w:sz w:val="18"/>
                <w:szCs w:val="18"/>
              </w:rPr>
              <w:t>产品要求</w:t>
            </w:r>
          </w:p>
        </w:tc>
        <w:tc>
          <w:tcPr>
            <w:tcW w:w="0" w:type="auto"/>
            <w:shd w:val="clear" w:color="auto" w:fill="auto"/>
            <w:vAlign w:val="center"/>
          </w:tcPr>
          <w:p w14:paraId="4B594B08">
            <w:pPr>
              <w:widowControl/>
              <w:jc w:val="left"/>
              <w:rPr>
                <w:rFonts w:hint="eastAsia" w:ascii="宋体" w:hAnsi="宋体" w:cs="宋体"/>
                <w:kern w:val="0"/>
                <w:sz w:val="18"/>
                <w:szCs w:val="18"/>
              </w:rPr>
            </w:pPr>
            <w:r>
              <w:rPr>
                <w:rFonts w:hint="eastAsia" w:ascii="宋体" w:hAnsi="宋体" w:cs="宋体"/>
                <w:kern w:val="0"/>
                <w:sz w:val="18"/>
                <w:szCs w:val="18"/>
              </w:rPr>
              <w:t>要求所投产品与防火墙（总部IPSECVPN接入设备）同一品牌。</w:t>
            </w:r>
          </w:p>
        </w:tc>
      </w:tr>
      <w:tr w14:paraId="2409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61EB9A8">
            <w:pPr>
              <w:widowControl/>
              <w:jc w:val="left"/>
              <w:rPr>
                <w:rFonts w:hint="eastAsia" w:ascii="宋体" w:hAnsi="宋体" w:cs="宋体"/>
                <w:kern w:val="0"/>
                <w:sz w:val="18"/>
                <w:szCs w:val="18"/>
              </w:rPr>
            </w:pPr>
          </w:p>
        </w:tc>
        <w:tc>
          <w:tcPr>
            <w:tcW w:w="0" w:type="auto"/>
            <w:shd w:val="clear" w:color="auto" w:fill="auto"/>
            <w:vAlign w:val="center"/>
          </w:tcPr>
          <w:p w14:paraId="2AD22918">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0" w:type="auto"/>
            <w:vMerge w:val="continue"/>
            <w:vAlign w:val="center"/>
          </w:tcPr>
          <w:p w14:paraId="7823A649">
            <w:pPr>
              <w:widowControl/>
              <w:jc w:val="left"/>
              <w:rPr>
                <w:rFonts w:hint="eastAsia" w:ascii="宋体" w:hAnsi="宋体" w:cs="宋体"/>
                <w:kern w:val="0"/>
                <w:sz w:val="18"/>
                <w:szCs w:val="18"/>
              </w:rPr>
            </w:pPr>
          </w:p>
        </w:tc>
        <w:tc>
          <w:tcPr>
            <w:tcW w:w="0" w:type="auto"/>
            <w:shd w:val="clear" w:color="auto" w:fill="auto"/>
            <w:vAlign w:val="center"/>
          </w:tcPr>
          <w:p w14:paraId="60685886">
            <w:pPr>
              <w:widowControl/>
              <w:jc w:val="left"/>
              <w:rPr>
                <w:rFonts w:hint="eastAsia" w:ascii="宋体" w:hAnsi="宋体" w:cs="宋体"/>
                <w:kern w:val="0"/>
                <w:sz w:val="18"/>
                <w:szCs w:val="18"/>
              </w:rPr>
            </w:pPr>
            <w:r>
              <w:rPr>
                <w:rFonts w:hint="eastAsia" w:ascii="宋体" w:hAnsi="宋体" w:cs="宋体"/>
                <w:kern w:val="0"/>
                <w:sz w:val="18"/>
                <w:szCs w:val="18"/>
              </w:rPr>
              <w:t>要求所投产品具备国家信息安全产品认证证书。（提供有效证书复印件）</w:t>
            </w:r>
          </w:p>
        </w:tc>
      </w:tr>
      <w:tr w14:paraId="3D93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4D06F6E6">
            <w:pPr>
              <w:widowControl/>
              <w:jc w:val="left"/>
              <w:rPr>
                <w:rFonts w:hint="eastAsia" w:ascii="宋体" w:hAnsi="宋体" w:cs="宋体"/>
                <w:kern w:val="0"/>
                <w:sz w:val="18"/>
                <w:szCs w:val="18"/>
              </w:rPr>
            </w:pPr>
          </w:p>
        </w:tc>
        <w:tc>
          <w:tcPr>
            <w:tcW w:w="0" w:type="auto"/>
            <w:shd w:val="clear" w:color="auto" w:fill="auto"/>
            <w:vAlign w:val="center"/>
          </w:tcPr>
          <w:p w14:paraId="05EF45CC">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0" w:type="auto"/>
            <w:vMerge w:val="continue"/>
            <w:vAlign w:val="center"/>
          </w:tcPr>
          <w:p w14:paraId="71B53A5E">
            <w:pPr>
              <w:widowControl/>
              <w:jc w:val="left"/>
              <w:rPr>
                <w:rFonts w:hint="eastAsia" w:ascii="宋体" w:hAnsi="宋体" w:cs="宋体"/>
                <w:kern w:val="0"/>
                <w:sz w:val="18"/>
                <w:szCs w:val="18"/>
              </w:rPr>
            </w:pPr>
          </w:p>
        </w:tc>
        <w:tc>
          <w:tcPr>
            <w:tcW w:w="0" w:type="auto"/>
            <w:shd w:val="clear" w:color="auto" w:fill="auto"/>
            <w:vAlign w:val="center"/>
          </w:tcPr>
          <w:p w14:paraId="1DF63012">
            <w:pPr>
              <w:widowControl/>
              <w:jc w:val="left"/>
              <w:rPr>
                <w:rFonts w:hint="eastAsia" w:ascii="宋体" w:hAnsi="宋体" w:cs="宋体"/>
                <w:kern w:val="0"/>
                <w:sz w:val="18"/>
                <w:szCs w:val="18"/>
              </w:rPr>
            </w:pPr>
            <w:r>
              <w:rPr>
                <w:rFonts w:hint="eastAsia" w:ascii="宋体" w:hAnsi="宋体" w:cs="宋体"/>
                <w:kern w:val="0"/>
                <w:sz w:val="18"/>
                <w:szCs w:val="18"/>
              </w:rPr>
              <w:t>公安部计算机信息系统安全产品质量监督检验中心《网络安全专用产品安全检测证书》或同等效力的其他证书</w:t>
            </w:r>
          </w:p>
        </w:tc>
      </w:tr>
      <w:tr w14:paraId="5B50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54BC8993">
            <w:pPr>
              <w:widowControl/>
              <w:jc w:val="left"/>
              <w:rPr>
                <w:rFonts w:hint="eastAsia" w:ascii="宋体" w:hAnsi="宋体" w:cs="宋体"/>
                <w:kern w:val="0"/>
                <w:sz w:val="18"/>
                <w:szCs w:val="18"/>
              </w:rPr>
            </w:pPr>
          </w:p>
        </w:tc>
        <w:tc>
          <w:tcPr>
            <w:tcW w:w="0" w:type="auto"/>
            <w:shd w:val="clear" w:color="auto" w:fill="auto"/>
            <w:vAlign w:val="center"/>
          </w:tcPr>
          <w:p w14:paraId="4273D6A4">
            <w:pPr>
              <w:widowControl/>
              <w:jc w:val="center"/>
              <w:rPr>
                <w:rFonts w:hint="eastAsia" w:ascii="宋体" w:hAnsi="宋体" w:cs="宋体"/>
                <w:kern w:val="0"/>
                <w:sz w:val="18"/>
                <w:szCs w:val="18"/>
              </w:rPr>
            </w:pPr>
            <w:r>
              <w:rPr>
                <w:rFonts w:hint="eastAsia" w:ascii="宋体" w:hAnsi="宋体" w:cs="宋体"/>
                <w:kern w:val="0"/>
                <w:sz w:val="18"/>
                <w:szCs w:val="18"/>
              </w:rPr>
              <w:t>5</w:t>
            </w:r>
          </w:p>
        </w:tc>
        <w:tc>
          <w:tcPr>
            <w:tcW w:w="0" w:type="auto"/>
            <w:shd w:val="clear" w:color="auto" w:fill="auto"/>
            <w:vAlign w:val="center"/>
          </w:tcPr>
          <w:p w14:paraId="0CDD4192">
            <w:pPr>
              <w:widowControl/>
              <w:jc w:val="center"/>
              <w:rPr>
                <w:rFonts w:hint="eastAsia" w:ascii="宋体" w:hAnsi="宋体" w:cs="宋体"/>
                <w:kern w:val="0"/>
                <w:sz w:val="18"/>
                <w:szCs w:val="18"/>
              </w:rPr>
            </w:pPr>
            <w:r>
              <w:rPr>
                <w:rFonts w:hint="eastAsia" w:ascii="宋体" w:hAnsi="宋体" w:cs="宋体"/>
                <w:kern w:val="0"/>
                <w:sz w:val="18"/>
                <w:szCs w:val="18"/>
              </w:rPr>
              <w:t>排名要求</w:t>
            </w:r>
          </w:p>
        </w:tc>
        <w:tc>
          <w:tcPr>
            <w:tcW w:w="0" w:type="auto"/>
            <w:shd w:val="clear" w:color="auto" w:fill="auto"/>
            <w:vAlign w:val="center"/>
          </w:tcPr>
          <w:p w14:paraId="596032B3">
            <w:pPr>
              <w:widowControl/>
              <w:jc w:val="left"/>
              <w:rPr>
                <w:rFonts w:hint="eastAsia" w:ascii="宋体" w:hAnsi="宋体" w:cs="宋体"/>
                <w:kern w:val="0"/>
                <w:sz w:val="18"/>
                <w:szCs w:val="18"/>
              </w:rPr>
            </w:pPr>
            <w:r>
              <w:rPr>
                <w:rFonts w:hint="eastAsia" w:ascii="宋体" w:hAnsi="宋体" w:cs="宋体"/>
                <w:kern w:val="0"/>
                <w:sz w:val="18"/>
                <w:szCs w:val="18"/>
              </w:rPr>
              <w:t>要求所投产品近三年IDC市场份额排名前三。（提供有效证明材料）</w:t>
            </w:r>
          </w:p>
        </w:tc>
      </w:tr>
      <w:tr w14:paraId="4C84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1DEF05F7">
            <w:pPr>
              <w:widowControl/>
              <w:jc w:val="left"/>
              <w:rPr>
                <w:rFonts w:hint="eastAsia" w:ascii="宋体" w:hAnsi="宋体" w:cs="宋体"/>
                <w:kern w:val="0"/>
                <w:sz w:val="18"/>
                <w:szCs w:val="18"/>
              </w:rPr>
            </w:pPr>
          </w:p>
        </w:tc>
        <w:tc>
          <w:tcPr>
            <w:tcW w:w="0" w:type="auto"/>
            <w:shd w:val="clear" w:color="auto" w:fill="auto"/>
            <w:vAlign w:val="center"/>
          </w:tcPr>
          <w:p w14:paraId="0813DF80">
            <w:pPr>
              <w:widowControl/>
              <w:jc w:val="center"/>
              <w:rPr>
                <w:rFonts w:hint="eastAsia" w:ascii="宋体" w:hAnsi="宋体" w:cs="宋体"/>
                <w:kern w:val="0"/>
                <w:sz w:val="18"/>
                <w:szCs w:val="18"/>
              </w:rPr>
            </w:pPr>
            <w:r>
              <w:rPr>
                <w:rFonts w:hint="eastAsia" w:ascii="宋体" w:hAnsi="宋体" w:cs="宋体"/>
                <w:kern w:val="0"/>
                <w:sz w:val="18"/>
                <w:szCs w:val="18"/>
              </w:rPr>
              <w:t>6</w:t>
            </w:r>
          </w:p>
        </w:tc>
        <w:tc>
          <w:tcPr>
            <w:tcW w:w="0" w:type="auto"/>
            <w:shd w:val="clear" w:color="auto" w:fill="auto"/>
            <w:vAlign w:val="center"/>
          </w:tcPr>
          <w:p w14:paraId="729F5EAA">
            <w:pPr>
              <w:widowControl/>
              <w:jc w:val="center"/>
              <w:rPr>
                <w:rFonts w:hint="eastAsia" w:ascii="宋体" w:hAnsi="宋体" w:cs="宋体"/>
                <w:kern w:val="0"/>
                <w:sz w:val="18"/>
                <w:szCs w:val="18"/>
              </w:rPr>
            </w:pPr>
            <w:r>
              <w:rPr>
                <w:rFonts w:hint="eastAsia" w:ascii="宋体" w:hAnsi="宋体" w:cs="宋体"/>
                <w:kern w:val="0"/>
                <w:sz w:val="18"/>
                <w:szCs w:val="18"/>
              </w:rPr>
              <w:t>IPV6能力</w:t>
            </w:r>
          </w:p>
        </w:tc>
        <w:tc>
          <w:tcPr>
            <w:tcW w:w="0" w:type="auto"/>
            <w:shd w:val="clear" w:color="auto" w:fill="auto"/>
            <w:vAlign w:val="center"/>
          </w:tcPr>
          <w:p w14:paraId="3C73CE40">
            <w:pPr>
              <w:widowControl/>
              <w:jc w:val="left"/>
              <w:rPr>
                <w:rFonts w:hint="eastAsia" w:ascii="宋体" w:hAnsi="宋体" w:cs="宋体"/>
                <w:kern w:val="0"/>
                <w:sz w:val="18"/>
                <w:szCs w:val="18"/>
              </w:rPr>
            </w:pPr>
            <w:r>
              <w:rPr>
                <w:rFonts w:hint="eastAsia" w:ascii="宋体" w:hAnsi="宋体" w:cs="宋体"/>
                <w:kern w:val="0"/>
                <w:sz w:val="18"/>
                <w:szCs w:val="18"/>
              </w:rPr>
              <w:t>支持配置IPv6策略，支持全IPV6能力。（提供证明材料，如官网截图、产品功能截图、第三方权威检测报告等）</w:t>
            </w:r>
          </w:p>
        </w:tc>
      </w:tr>
      <w:tr w14:paraId="3B4F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6E6594BD">
            <w:pPr>
              <w:widowControl/>
              <w:jc w:val="left"/>
              <w:rPr>
                <w:rFonts w:hint="eastAsia" w:ascii="宋体" w:hAnsi="宋体" w:cs="宋体"/>
                <w:kern w:val="0"/>
                <w:sz w:val="18"/>
                <w:szCs w:val="18"/>
              </w:rPr>
            </w:pPr>
          </w:p>
        </w:tc>
        <w:tc>
          <w:tcPr>
            <w:tcW w:w="0" w:type="auto"/>
            <w:shd w:val="clear" w:color="auto" w:fill="auto"/>
            <w:vAlign w:val="center"/>
          </w:tcPr>
          <w:p w14:paraId="5EB216D4">
            <w:pPr>
              <w:widowControl/>
              <w:jc w:val="center"/>
              <w:rPr>
                <w:rFonts w:hint="eastAsia" w:ascii="宋体" w:hAnsi="宋体" w:cs="宋体"/>
                <w:kern w:val="0"/>
                <w:sz w:val="18"/>
                <w:szCs w:val="18"/>
              </w:rPr>
            </w:pPr>
            <w:r>
              <w:rPr>
                <w:rFonts w:hint="eastAsia" w:ascii="宋体" w:hAnsi="宋体" w:cs="宋体"/>
                <w:kern w:val="0"/>
                <w:sz w:val="18"/>
                <w:szCs w:val="18"/>
              </w:rPr>
              <w:t>7</w:t>
            </w:r>
          </w:p>
        </w:tc>
        <w:tc>
          <w:tcPr>
            <w:tcW w:w="0" w:type="auto"/>
            <w:shd w:val="clear" w:color="auto" w:fill="auto"/>
            <w:vAlign w:val="center"/>
          </w:tcPr>
          <w:p w14:paraId="711046FB">
            <w:pPr>
              <w:widowControl/>
              <w:jc w:val="center"/>
              <w:rPr>
                <w:rFonts w:hint="eastAsia" w:ascii="宋体" w:hAnsi="宋体" w:cs="宋体"/>
                <w:kern w:val="0"/>
                <w:sz w:val="18"/>
                <w:szCs w:val="18"/>
              </w:rPr>
            </w:pPr>
            <w:r>
              <w:rPr>
                <w:rFonts w:hint="eastAsia" w:ascii="宋体" w:hAnsi="宋体" w:cs="宋体"/>
                <w:kern w:val="0"/>
                <w:sz w:val="18"/>
                <w:szCs w:val="18"/>
              </w:rPr>
              <w:t>高可靠性</w:t>
            </w:r>
          </w:p>
        </w:tc>
        <w:tc>
          <w:tcPr>
            <w:tcW w:w="0" w:type="auto"/>
            <w:shd w:val="clear" w:color="auto" w:fill="auto"/>
            <w:vAlign w:val="center"/>
          </w:tcPr>
          <w:p w14:paraId="0F6B10A4">
            <w:pPr>
              <w:widowControl/>
              <w:jc w:val="left"/>
              <w:rPr>
                <w:rFonts w:hint="eastAsia" w:ascii="宋体" w:hAnsi="宋体" w:cs="宋体"/>
                <w:kern w:val="0"/>
                <w:sz w:val="18"/>
                <w:szCs w:val="18"/>
              </w:rPr>
            </w:pPr>
            <w:r>
              <w:rPr>
                <w:rFonts w:hint="eastAsia" w:ascii="宋体" w:hAnsi="宋体" w:cs="宋体"/>
                <w:kern w:val="0"/>
                <w:sz w:val="18"/>
                <w:szCs w:val="18"/>
              </w:rPr>
              <w:t>支持双机热备实现HA。（提供证明材料，如官网截图、产品功能截图、第三方权威检测报告等）</w:t>
            </w:r>
          </w:p>
        </w:tc>
      </w:tr>
      <w:tr w14:paraId="68E1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0" w:type="auto"/>
            <w:vMerge w:val="continue"/>
            <w:vAlign w:val="center"/>
          </w:tcPr>
          <w:p w14:paraId="738BAD8D">
            <w:pPr>
              <w:widowControl/>
              <w:jc w:val="left"/>
              <w:rPr>
                <w:rFonts w:hint="eastAsia" w:ascii="宋体" w:hAnsi="宋体" w:cs="宋体"/>
                <w:kern w:val="0"/>
                <w:sz w:val="18"/>
                <w:szCs w:val="18"/>
              </w:rPr>
            </w:pPr>
          </w:p>
        </w:tc>
        <w:tc>
          <w:tcPr>
            <w:tcW w:w="0" w:type="auto"/>
            <w:shd w:val="clear" w:color="auto" w:fill="auto"/>
            <w:vAlign w:val="center"/>
          </w:tcPr>
          <w:p w14:paraId="258A5BEF">
            <w:pPr>
              <w:widowControl/>
              <w:jc w:val="center"/>
              <w:rPr>
                <w:rFonts w:hint="eastAsia" w:ascii="宋体" w:hAnsi="宋体" w:cs="宋体"/>
                <w:kern w:val="0"/>
                <w:sz w:val="18"/>
                <w:szCs w:val="18"/>
              </w:rPr>
            </w:pPr>
            <w:r>
              <w:rPr>
                <w:rFonts w:hint="eastAsia" w:ascii="宋体" w:hAnsi="宋体" w:cs="宋体"/>
                <w:kern w:val="0"/>
                <w:sz w:val="18"/>
                <w:szCs w:val="18"/>
              </w:rPr>
              <w:t>8</w:t>
            </w:r>
          </w:p>
        </w:tc>
        <w:tc>
          <w:tcPr>
            <w:tcW w:w="0" w:type="auto"/>
            <w:shd w:val="clear" w:color="auto" w:fill="auto"/>
            <w:vAlign w:val="center"/>
          </w:tcPr>
          <w:p w14:paraId="16717AE2">
            <w:pPr>
              <w:widowControl/>
              <w:jc w:val="center"/>
              <w:rPr>
                <w:rFonts w:hint="eastAsia" w:ascii="宋体" w:hAnsi="宋体" w:cs="宋体"/>
                <w:kern w:val="0"/>
                <w:sz w:val="18"/>
                <w:szCs w:val="18"/>
              </w:rPr>
            </w:pPr>
            <w:r>
              <w:rPr>
                <w:rFonts w:hint="eastAsia" w:ascii="宋体" w:hAnsi="宋体" w:cs="宋体"/>
                <w:kern w:val="0"/>
                <w:sz w:val="18"/>
                <w:szCs w:val="18"/>
              </w:rPr>
              <w:t>性能参数</w:t>
            </w:r>
          </w:p>
        </w:tc>
        <w:tc>
          <w:tcPr>
            <w:tcW w:w="0" w:type="auto"/>
            <w:shd w:val="clear" w:color="auto" w:fill="auto"/>
            <w:vAlign w:val="center"/>
          </w:tcPr>
          <w:p w14:paraId="0C585861">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总部职场级（2台）：</w:t>
            </w:r>
            <w:r>
              <w:rPr>
                <w:rFonts w:hint="eastAsia" w:ascii="宋体" w:hAnsi="宋体" w:cs="宋体"/>
                <w:color w:val="000000"/>
                <w:kern w:val="0"/>
                <w:sz w:val="18"/>
                <w:szCs w:val="18"/>
              </w:rPr>
              <w:t>网络层吞吐量（大包）：3.6G，应用层吞吐量：450M；并发连接数≥15万；新建连接数≥4000；支持用户数：1500人；存储：480G以上；</w:t>
            </w:r>
            <w:r>
              <w:rPr>
                <w:rFonts w:hint="eastAsia" w:ascii="宋体" w:hAnsi="宋体" w:cs="宋体"/>
                <w:color w:val="000000"/>
                <w:kern w:val="0"/>
                <w:sz w:val="18"/>
                <w:szCs w:val="18"/>
              </w:rPr>
              <w:br w:type="textWrapping"/>
            </w:r>
            <w:r>
              <w:rPr>
                <w:rFonts w:hint="eastAsia" w:ascii="宋体" w:hAnsi="宋体" w:cs="宋体"/>
                <w:b/>
                <w:bCs/>
                <w:color w:val="000000"/>
                <w:kern w:val="0"/>
                <w:sz w:val="18"/>
                <w:szCs w:val="18"/>
              </w:rPr>
              <w:t>分公司级（32台）：</w:t>
            </w:r>
            <w:r>
              <w:rPr>
                <w:rFonts w:hint="eastAsia" w:ascii="宋体" w:hAnsi="宋体" w:cs="宋体"/>
                <w:color w:val="000000"/>
                <w:kern w:val="0"/>
                <w:sz w:val="18"/>
                <w:szCs w:val="18"/>
              </w:rPr>
              <w:t>网络层吞吐量（大包）：2G，应用层吞吐量：150M；并发连接数≥5万；新建连接数≥1000；存储：128G以上；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（提供证明材料，如官网截图、产品功能截图、第三方权威检测报告等）</w:t>
            </w:r>
          </w:p>
        </w:tc>
      </w:tr>
      <w:tr w14:paraId="564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E58D20C">
            <w:pPr>
              <w:widowControl/>
              <w:jc w:val="left"/>
              <w:rPr>
                <w:rFonts w:hint="eastAsia" w:ascii="宋体" w:hAnsi="宋体" w:cs="宋体"/>
                <w:kern w:val="0"/>
                <w:sz w:val="18"/>
                <w:szCs w:val="18"/>
              </w:rPr>
            </w:pPr>
          </w:p>
        </w:tc>
        <w:tc>
          <w:tcPr>
            <w:tcW w:w="0" w:type="auto"/>
            <w:shd w:val="clear" w:color="auto" w:fill="auto"/>
            <w:vAlign w:val="center"/>
          </w:tcPr>
          <w:p w14:paraId="369E663A">
            <w:pPr>
              <w:widowControl/>
              <w:jc w:val="center"/>
              <w:rPr>
                <w:rFonts w:hint="eastAsia" w:ascii="宋体" w:hAnsi="宋体" w:cs="宋体"/>
                <w:kern w:val="0"/>
                <w:sz w:val="18"/>
                <w:szCs w:val="18"/>
              </w:rPr>
            </w:pPr>
            <w:r>
              <w:rPr>
                <w:rFonts w:hint="eastAsia" w:ascii="宋体" w:hAnsi="宋体" w:cs="宋体"/>
                <w:kern w:val="0"/>
                <w:sz w:val="18"/>
                <w:szCs w:val="18"/>
              </w:rPr>
              <w:t>9</w:t>
            </w:r>
          </w:p>
        </w:tc>
        <w:tc>
          <w:tcPr>
            <w:tcW w:w="0" w:type="auto"/>
            <w:shd w:val="clear" w:color="auto" w:fill="auto"/>
            <w:vAlign w:val="center"/>
          </w:tcPr>
          <w:p w14:paraId="1EE4443D">
            <w:pPr>
              <w:widowControl/>
              <w:jc w:val="center"/>
              <w:rPr>
                <w:rFonts w:hint="eastAsia" w:ascii="宋体" w:hAnsi="宋体" w:cs="宋体"/>
                <w:kern w:val="0"/>
                <w:sz w:val="18"/>
                <w:szCs w:val="18"/>
              </w:rPr>
            </w:pPr>
            <w:r>
              <w:rPr>
                <w:rFonts w:hint="eastAsia" w:ascii="宋体" w:hAnsi="宋体" w:cs="宋体"/>
                <w:kern w:val="0"/>
                <w:sz w:val="18"/>
                <w:szCs w:val="18"/>
              </w:rPr>
              <w:t>维保要求</w:t>
            </w:r>
          </w:p>
        </w:tc>
        <w:tc>
          <w:tcPr>
            <w:tcW w:w="0" w:type="auto"/>
            <w:shd w:val="clear" w:color="auto" w:fill="auto"/>
            <w:vAlign w:val="center"/>
          </w:tcPr>
          <w:p w14:paraId="288A96CB">
            <w:pPr>
              <w:widowControl/>
              <w:jc w:val="left"/>
              <w:rPr>
                <w:rFonts w:hint="eastAsia" w:ascii="宋体" w:hAnsi="宋体" w:cs="宋体"/>
                <w:kern w:val="0"/>
                <w:sz w:val="18"/>
                <w:szCs w:val="18"/>
              </w:rPr>
            </w:pPr>
            <w:r>
              <w:rPr>
                <w:rFonts w:hint="eastAsia" w:ascii="宋体" w:hAnsi="宋体" w:cs="宋体"/>
                <w:kern w:val="0"/>
                <w:sz w:val="18"/>
                <w:szCs w:val="18"/>
              </w:rPr>
              <w:t>上网行为管理设备包含5年原厂维保服务。</w:t>
            </w:r>
          </w:p>
        </w:tc>
      </w:tr>
      <w:tr w14:paraId="01B4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602D3388">
            <w:pPr>
              <w:widowControl/>
              <w:jc w:val="left"/>
              <w:rPr>
                <w:rFonts w:hint="eastAsia" w:ascii="宋体" w:hAnsi="宋体" w:cs="宋体"/>
                <w:kern w:val="0"/>
                <w:sz w:val="18"/>
                <w:szCs w:val="18"/>
              </w:rPr>
            </w:pPr>
          </w:p>
        </w:tc>
        <w:tc>
          <w:tcPr>
            <w:tcW w:w="0" w:type="auto"/>
            <w:shd w:val="clear" w:color="auto" w:fill="auto"/>
            <w:vAlign w:val="center"/>
          </w:tcPr>
          <w:p w14:paraId="644681FF">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0" w:type="auto"/>
            <w:vMerge w:val="restart"/>
            <w:shd w:val="clear" w:color="auto" w:fill="auto"/>
            <w:vAlign w:val="center"/>
          </w:tcPr>
          <w:p w14:paraId="1A3F9316">
            <w:pPr>
              <w:widowControl/>
              <w:jc w:val="center"/>
              <w:rPr>
                <w:rFonts w:hint="eastAsia" w:ascii="宋体" w:hAnsi="宋体" w:cs="宋体"/>
                <w:kern w:val="0"/>
                <w:sz w:val="18"/>
                <w:szCs w:val="18"/>
              </w:rPr>
            </w:pPr>
            <w:r>
              <w:rPr>
                <w:rFonts w:hint="eastAsia" w:ascii="宋体" w:hAnsi="宋体" w:cs="宋体"/>
                <w:kern w:val="0"/>
                <w:sz w:val="18"/>
                <w:szCs w:val="18"/>
              </w:rPr>
              <w:t>硬件规格</w:t>
            </w:r>
          </w:p>
        </w:tc>
        <w:tc>
          <w:tcPr>
            <w:tcW w:w="0" w:type="auto"/>
            <w:shd w:val="clear" w:color="auto" w:fill="auto"/>
            <w:vAlign w:val="center"/>
          </w:tcPr>
          <w:p w14:paraId="435B5213">
            <w:pPr>
              <w:widowControl/>
              <w:jc w:val="left"/>
              <w:rPr>
                <w:rFonts w:hint="eastAsia" w:ascii="宋体" w:hAnsi="宋体" w:cs="宋体"/>
                <w:kern w:val="0"/>
                <w:sz w:val="18"/>
                <w:szCs w:val="18"/>
              </w:rPr>
            </w:pPr>
            <w:r>
              <w:rPr>
                <w:rFonts w:hint="eastAsia" w:ascii="宋体" w:hAnsi="宋体" w:cs="宋体"/>
                <w:kern w:val="0"/>
                <w:sz w:val="18"/>
                <w:szCs w:val="18"/>
              </w:rPr>
              <w:t>提供不少于6个千兆电接口。</w:t>
            </w:r>
          </w:p>
        </w:tc>
      </w:tr>
      <w:tr w14:paraId="55A6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52692473">
            <w:pPr>
              <w:widowControl/>
              <w:jc w:val="left"/>
              <w:rPr>
                <w:rFonts w:hint="eastAsia" w:ascii="宋体" w:hAnsi="宋体" w:cs="宋体"/>
                <w:kern w:val="0"/>
                <w:sz w:val="18"/>
                <w:szCs w:val="18"/>
              </w:rPr>
            </w:pPr>
          </w:p>
        </w:tc>
        <w:tc>
          <w:tcPr>
            <w:tcW w:w="0" w:type="auto"/>
            <w:shd w:val="clear" w:color="auto" w:fill="auto"/>
            <w:vAlign w:val="center"/>
          </w:tcPr>
          <w:p w14:paraId="2215DC41">
            <w:pPr>
              <w:widowControl/>
              <w:jc w:val="center"/>
              <w:rPr>
                <w:rFonts w:hint="eastAsia" w:ascii="宋体" w:hAnsi="宋体" w:cs="宋体"/>
                <w:kern w:val="0"/>
                <w:sz w:val="18"/>
                <w:szCs w:val="18"/>
              </w:rPr>
            </w:pPr>
            <w:r>
              <w:rPr>
                <w:rFonts w:hint="eastAsia" w:ascii="宋体" w:hAnsi="宋体" w:cs="宋体"/>
                <w:kern w:val="0"/>
                <w:sz w:val="18"/>
                <w:szCs w:val="18"/>
              </w:rPr>
              <w:t>11</w:t>
            </w:r>
          </w:p>
        </w:tc>
        <w:tc>
          <w:tcPr>
            <w:tcW w:w="0" w:type="auto"/>
            <w:vMerge w:val="continue"/>
            <w:vAlign w:val="center"/>
          </w:tcPr>
          <w:p w14:paraId="27E13012">
            <w:pPr>
              <w:widowControl/>
              <w:jc w:val="left"/>
              <w:rPr>
                <w:rFonts w:hint="eastAsia" w:ascii="宋体" w:hAnsi="宋体" w:cs="宋体"/>
                <w:kern w:val="0"/>
                <w:sz w:val="18"/>
                <w:szCs w:val="18"/>
              </w:rPr>
            </w:pPr>
          </w:p>
        </w:tc>
        <w:tc>
          <w:tcPr>
            <w:tcW w:w="0" w:type="auto"/>
            <w:shd w:val="clear" w:color="auto" w:fill="auto"/>
            <w:vAlign w:val="center"/>
          </w:tcPr>
          <w:p w14:paraId="2D4DF76B">
            <w:pPr>
              <w:widowControl/>
              <w:jc w:val="left"/>
              <w:rPr>
                <w:rFonts w:hint="eastAsia" w:ascii="宋体" w:hAnsi="宋体" w:cs="宋体"/>
                <w:kern w:val="0"/>
                <w:sz w:val="18"/>
                <w:szCs w:val="18"/>
              </w:rPr>
            </w:pPr>
            <w:r>
              <w:rPr>
                <w:rFonts w:hint="eastAsia" w:ascii="宋体" w:hAnsi="宋体" w:cs="宋体"/>
                <w:kern w:val="0"/>
                <w:sz w:val="18"/>
                <w:szCs w:val="18"/>
              </w:rPr>
              <w:t>设备高度1U。</w:t>
            </w:r>
          </w:p>
        </w:tc>
      </w:tr>
      <w:tr w14:paraId="54BD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shd w:val="clear" w:color="auto" w:fill="auto"/>
            <w:vAlign w:val="center"/>
          </w:tcPr>
          <w:p w14:paraId="040AC9DF">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0" w:type="auto"/>
            <w:shd w:val="clear" w:color="auto" w:fill="auto"/>
            <w:vAlign w:val="center"/>
          </w:tcPr>
          <w:p w14:paraId="5F8C194A">
            <w:pPr>
              <w:widowControl/>
              <w:jc w:val="center"/>
              <w:rPr>
                <w:rFonts w:hint="eastAsia" w:ascii="宋体" w:hAnsi="宋体" w:cs="宋体"/>
                <w:kern w:val="0"/>
                <w:sz w:val="18"/>
                <w:szCs w:val="18"/>
              </w:rPr>
            </w:pPr>
            <w:r>
              <w:rPr>
                <w:rFonts w:hint="eastAsia" w:ascii="宋体" w:hAnsi="宋体" w:cs="宋体"/>
                <w:kern w:val="0"/>
                <w:sz w:val="18"/>
                <w:szCs w:val="18"/>
              </w:rPr>
              <w:t>12</w:t>
            </w:r>
          </w:p>
        </w:tc>
        <w:tc>
          <w:tcPr>
            <w:tcW w:w="0" w:type="auto"/>
            <w:shd w:val="clear" w:color="auto" w:fill="auto"/>
            <w:vAlign w:val="center"/>
          </w:tcPr>
          <w:p w14:paraId="7B38D405">
            <w:pPr>
              <w:widowControl/>
              <w:jc w:val="center"/>
              <w:rPr>
                <w:rFonts w:hint="eastAsia" w:ascii="宋体" w:hAnsi="宋体" w:cs="宋体"/>
                <w:kern w:val="0"/>
                <w:sz w:val="18"/>
                <w:szCs w:val="18"/>
              </w:rPr>
            </w:pPr>
            <w:r>
              <w:rPr>
                <w:rFonts w:hint="eastAsia" w:ascii="宋体" w:hAnsi="宋体" w:cs="宋体"/>
                <w:kern w:val="0"/>
                <w:sz w:val="18"/>
                <w:szCs w:val="18"/>
              </w:rPr>
              <w:t>信创要求</w:t>
            </w:r>
          </w:p>
        </w:tc>
        <w:tc>
          <w:tcPr>
            <w:tcW w:w="0" w:type="auto"/>
            <w:shd w:val="clear" w:color="auto" w:fill="auto"/>
            <w:vAlign w:val="center"/>
          </w:tcPr>
          <w:p w14:paraId="4CDA8434">
            <w:pPr>
              <w:widowControl/>
              <w:jc w:val="left"/>
              <w:rPr>
                <w:rFonts w:hint="eastAsia" w:ascii="宋体" w:hAnsi="宋体" w:cs="宋体"/>
                <w:kern w:val="0"/>
                <w:sz w:val="18"/>
                <w:szCs w:val="18"/>
              </w:rPr>
            </w:pPr>
            <w:r>
              <w:rPr>
                <w:rFonts w:hint="eastAsia" w:ascii="宋体" w:hAnsi="宋体" w:cs="宋体"/>
                <w:kern w:val="0"/>
                <w:sz w:val="18"/>
                <w:szCs w:val="18"/>
              </w:rPr>
              <w:t>满足信创要求，CPU采用国产芯片，操作系统采用国产操作系统（提供第三方检测证明报告等证明材料）</w:t>
            </w:r>
          </w:p>
        </w:tc>
      </w:tr>
      <w:tr w14:paraId="7682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restart"/>
            <w:shd w:val="clear" w:color="auto" w:fill="auto"/>
            <w:vAlign w:val="center"/>
          </w:tcPr>
          <w:p w14:paraId="5AC424D8">
            <w:pPr>
              <w:widowControl/>
              <w:jc w:val="center"/>
              <w:rPr>
                <w:rFonts w:hint="eastAsia" w:ascii="宋体" w:hAnsi="宋体" w:cs="宋体"/>
                <w:kern w:val="0"/>
                <w:sz w:val="18"/>
                <w:szCs w:val="18"/>
              </w:rPr>
            </w:pPr>
            <w:r>
              <w:rPr>
                <w:rFonts w:hint="eastAsia" w:ascii="宋体" w:hAnsi="宋体" w:cs="宋体"/>
                <w:kern w:val="0"/>
                <w:sz w:val="18"/>
                <w:szCs w:val="18"/>
              </w:rPr>
              <w:t>▲功能要求</w:t>
            </w:r>
          </w:p>
        </w:tc>
        <w:tc>
          <w:tcPr>
            <w:tcW w:w="0" w:type="auto"/>
            <w:shd w:val="clear" w:color="auto" w:fill="auto"/>
            <w:vAlign w:val="center"/>
          </w:tcPr>
          <w:p w14:paraId="4593A9A1">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0" w:type="auto"/>
            <w:shd w:val="clear" w:color="auto" w:fill="auto"/>
            <w:vAlign w:val="center"/>
          </w:tcPr>
          <w:p w14:paraId="7C1621D4">
            <w:pPr>
              <w:widowControl/>
              <w:jc w:val="center"/>
              <w:rPr>
                <w:rFonts w:hint="eastAsia" w:ascii="宋体" w:hAnsi="宋体" w:cs="宋体"/>
                <w:kern w:val="0"/>
                <w:sz w:val="18"/>
                <w:szCs w:val="18"/>
              </w:rPr>
            </w:pPr>
            <w:r>
              <w:rPr>
                <w:rFonts w:hint="eastAsia" w:ascii="宋体" w:hAnsi="宋体" w:cs="宋体"/>
                <w:kern w:val="0"/>
                <w:sz w:val="18"/>
                <w:szCs w:val="18"/>
              </w:rPr>
              <w:t>工作模式</w:t>
            </w:r>
          </w:p>
        </w:tc>
        <w:tc>
          <w:tcPr>
            <w:tcW w:w="0" w:type="auto"/>
            <w:shd w:val="clear" w:color="auto" w:fill="auto"/>
            <w:vAlign w:val="center"/>
          </w:tcPr>
          <w:p w14:paraId="34636EDC">
            <w:pPr>
              <w:widowControl/>
              <w:jc w:val="left"/>
              <w:rPr>
                <w:rFonts w:hint="eastAsia" w:ascii="宋体" w:hAnsi="宋体" w:cs="宋体"/>
                <w:kern w:val="0"/>
                <w:sz w:val="18"/>
                <w:szCs w:val="18"/>
              </w:rPr>
            </w:pPr>
            <w:r>
              <w:rPr>
                <w:rFonts w:hint="eastAsia" w:ascii="宋体" w:hAnsi="宋体" w:cs="宋体"/>
                <w:kern w:val="0"/>
                <w:sz w:val="18"/>
                <w:szCs w:val="18"/>
              </w:rPr>
              <w:t>支持透明、路由、旁路三种工作模式；（提供产品界面截图）</w:t>
            </w:r>
          </w:p>
        </w:tc>
      </w:tr>
      <w:tr w14:paraId="6B66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4094AD7">
            <w:pPr>
              <w:widowControl/>
              <w:jc w:val="left"/>
              <w:rPr>
                <w:rFonts w:hint="eastAsia" w:ascii="宋体" w:hAnsi="宋体" w:cs="宋体"/>
                <w:kern w:val="0"/>
                <w:sz w:val="18"/>
                <w:szCs w:val="18"/>
              </w:rPr>
            </w:pPr>
          </w:p>
        </w:tc>
        <w:tc>
          <w:tcPr>
            <w:tcW w:w="0" w:type="auto"/>
            <w:shd w:val="clear" w:color="auto" w:fill="auto"/>
            <w:vAlign w:val="center"/>
          </w:tcPr>
          <w:p w14:paraId="66CA3CA6">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0" w:type="auto"/>
            <w:shd w:val="clear" w:color="auto" w:fill="auto"/>
            <w:vAlign w:val="center"/>
          </w:tcPr>
          <w:p w14:paraId="1B47F6DD">
            <w:pPr>
              <w:widowControl/>
              <w:jc w:val="center"/>
              <w:rPr>
                <w:rFonts w:hint="eastAsia" w:ascii="宋体" w:hAnsi="宋体" w:cs="宋体"/>
                <w:kern w:val="0"/>
                <w:sz w:val="18"/>
                <w:szCs w:val="18"/>
              </w:rPr>
            </w:pPr>
            <w:r>
              <w:rPr>
                <w:rFonts w:hint="eastAsia" w:ascii="宋体" w:hAnsi="宋体" w:cs="宋体"/>
                <w:kern w:val="0"/>
                <w:sz w:val="18"/>
                <w:szCs w:val="18"/>
              </w:rPr>
              <w:t>高可用</w:t>
            </w:r>
          </w:p>
        </w:tc>
        <w:tc>
          <w:tcPr>
            <w:tcW w:w="0" w:type="auto"/>
            <w:shd w:val="clear" w:color="auto" w:fill="auto"/>
            <w:vAlign w:val="center"/>
          </w:tcPr>
          <w:p w14:paraId="706B2696">
            <w:pPr>
              <w:widowControl/>
              <w:jc w:val="left"/>
              <w:rPr>
                <w:rFonts w:hint="eastAsia" w:ascii="宋体" w:hAnsi="宋体" w:cs="宋体"/>
                <w:kern w:val="0"/>
                <w:sz w:val="18"/>
                <w:szCs w:val="18"/>
              </w:rPr>
            </w:pPr>
            <w:r>
              <w:rPr>
                <w:rFonts w:hint="eastAsia" w:ascii="宋体" w:hAnsi="宋体" w:cs="宋体"/>
                <w:kern w:val="0"/>
                <w:sz w:val="18"/>
                <w:szCs w:val="18"/>
              </w:rPr>
              <w:t>高可用支持主备、主主模式部署； （提供产品界面截图）</w:t>
            </w:r>
          </w:p>
        </w:tc>
      </w:tr>
      <w:tr w14:paraId="3B9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0" w:type="auto"/>
            <w:vMerge w:val="continue"/>
            <w:vAlign w:val="center"/>
          </w:tcPr>
          <w:p w14:paraId="05B1F0D4">
            <w:pPr>
              <w:widowControl/>
              <w:jc w:val="left"/>
              <w:rPr>
                <w:rFonts w:hint="eastAsia" w:ascii="宋体" w:hAnsi="宋体" w:cs="宋体"/>
                <w:kern w:val="0"/>
                <w:sz w:val="18"/>
                <w:szCs w:val="18"/>
              </w:rPr>
            </w:pPr>
          </w:p>
        </w:tc>
        <w:tc>
          <w:tcPr>
            <w:tcW w:w="0" w:type="auto"/>
            <w:shd w:val="clear" w:color="auto" w:fill="auto"/>
            <w:vAlign w:val="center"/>
          </w:tcPr>
          <w:p w14:paraId="7B89CF27">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0" w:type="auto"/>
            <w:shd w:val="clear" w:color="auto" w:fill="auto"/>
            <w:vAlign w:val="center"/>
          </w:tcPr>
          <w:p w14:paraId="45FE6458">
            <w:pPr>
              <w:widowControl/>
              <w:jc w:val="center"/>
              <w:rPr>
                <w:rFonts w:hint="eastAsia" w:ascii="宋体" w:hAnsi="宋体" w:cs="宋体"/>
                <w:kern w:val="0"/>
                <w:sz w:val="18"/>
                <w:szCs w:val="18"/>
              </w:rPr>
            </w:pPr>
            <w:r>
              <w:rPr>
                <w:rFonts w:hint="eastAsia" w:ascii="宋体" w:hAnsi="宋体" w:cs="宋体"/>
                <w:kern w:val="0"/>
                <w:sz w:val="18"/>
                <w:szCs w:val="18"/>
              </w:rPr>
              <w:t>VPN组网</w:t>
            </w:r>
          </w:p>
        </w:tc>
        <w:tc>
          <w:tcPr>
            <w:tcW w:w="0" w:type="auto"/>
            <w:shd w:val="clear" w:color="auto" w:fill="auto"/>
            <w:vAlign w:val="center"/>
          </w:tcPr>
          <w:p w14:paraId="6A50F71A">
            <w:pPr>
              <w:widowControl/>
              <w:jc w:val="left"/>
              <w:rPr>
                <w:rFonts w:hint="eastAsia" w:ascii="宋体" w:hAnsi="宋体" w:cs="宋体"/>
                <w:kern w:val="0"/>
                <w:sz w:val="18"/>
                <w:szCs w:val="18"/>
              </w:rPr>
            </w:pPr>
            <w:r>
              <w:rPr>
                <w:rFonts w:hint="eastAsia" w:ascii="宋体" w:hAnsi="宋体" w:cs="宋体"/>
                <w:kern w:val="0"/>
                <w:sz w:val="18"/>
                <w:szCs w:val="18"/>
              </w:rPr>
              <w:t>支持IPSec VPN模块；（提供证明材料，如官网截图、产品功能截图、第三方权威检测报告等）</w:t>
            </w:r>
          </w:p>
        </w:tc>
      </w:tr>
      <w:tr w14:paraId="2BA1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0" w:type="auto"/>
            <w:vMerge w:val="continue"/>
            <w:vAlign w:val="center"/>
          </w:tcPr>
          <w:p w14:paraId="59A62295">
            <w:pPr>
              <w:widowControl/>
              <w:jc w:val="left"/>
              <w:rPr>
                <w:rFonts w:hint="eastAsia" w:ascii="宋体" w:hAnsi="宋体" w:cs="宋体"/>
                <w:kern w:val="0"/>
                <w:sz w:val="18"/>
                <w:szCs w:val="18"/>
              </w:rPr>
            </w:pPr>
          </w:p>
        </w:tc>
        <w:tc>
          <w:tcPr>
            <w:tcW w:w="0" w:type="auto"/>
            <w:shd w:val="clear" w:color="auto" w:fill="auto"/>
            <w:vAlign w:val="center"/>
          </w:tcPr>
          <w:p w14:paraId="6AB625ED">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0" w:type="auto"/>
            <w:shd w:val="clear" w:color="auto" w:fill="auto"/>
            <w:vAlign w:val="center"/>
          </w:tcPr>
          <w:p w14:paraId="295F6A70">
            <w:pPr>
              <w:widowControl/>
              <w:jc w:val="center"/>
              <w:rPr>
                <w:rFonts w:hint="eastAsia" w:ascii="宋体" w:hAnsi="宋体" w:cs="宋体"/>
                <w:kern w:val="0"/>
                <w:sz w:val="18"/>
                <w:szCs w:val="18"/>
              </w:rPr>
            </w:pPr>
            <w:r>
              <w:rPr>
                <w:rFonts w:hint="eastAsia" w:ascii="宋体" w:hAnsi="宋体" w:cs="宋体"/>
                <w:kern w:val="0"/>
                <w:sz w:val="18"/>
                <w:szCs w:val="18"/>
              </w:rPr>
              <w:t>实时状态</w:t>
            </w:r>
          </w:p>
        </w:tc>
        <w:tc>
          <w:tcPr>
            <w:tcW w:w="0" w:type="auto"/>
            <w:shd w:val="clear" w:color="auto" w:fill="auto"/>
            <w:vAlign w:val="center"/>
          </w:tcPr>
          <w:p w14:paraId="78CF9C8A">
            <w:pPr>
              <w:widowControl/>
              <w:jc w:val="left"/>
              <w:rPr>
                <w:rFonts w:hint="eastAsia" w:ascii="宋体" w:hAnsi="宋体" w:cs="宋体"/>
                <w:kern w:val="0"/>
                <w:sz w:val="18"/>
                <w:szCs w:val="18"/>
              </w:rPr>
            </w:pPr>
            <w:r>
              <w:rPr>
                <w:rFonts w:hint="eastAsia" w:ascii="宋体" w:hAnsi="宋体" w:cs="宋体"/>
                <w:kern w:val="0"/>
                <w:sz w:val="18"/>
                <w:szCs w:val="18"/>
              </w:rPr>
              <w:t>支持首页显示接入用户人数；带宽质量分析、终端违规、终端接入类型、展示等功能；（提供产品界面截图）</w:t>
            </w:r>
          </w:p>
        </w:tc>
      </w:tr>
      <w:tr w14:paraId="22BC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574E2A50">
            <w:pPr>
              <w:widowControl/>
              <w:jc w:val="left"/>
              <w:rPr>
                <w:rFonts w:hint="eastAsia" w:ascii="宋体" w:hAnsi="宋体" w:cs="宋体"/>
                <w:kern w:val="0"/>
                <w:sz w:val="18"/>
                <w:szCs w:val="18"/>
              </w:rPr>
            </w:pPr>
          </w:p>
        </w:tc>
        <w:tc>
          <w:tcPr>
            <w:tcW w:w="0" w:type="auto"/>
            <w:shd w:val="clear" w:color="auto" w:fill="auto"/>
            <w:vAlign w:val="center"/>
          </w:tcPr>
          <w:p w14:paraId="6D7C5AEC">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0" w:type="auto"/>
            <w:vMerge w:val="restart"/>
            <w:shd w:val="clear" w:color="auto" w:fill="auto"/>
            <w:vAlign w:val="center"/>
          </w:tcPr>
          <w:p w14:paraId="6F49707C">
            <w:pPr>
              <w:widowControl/>
              <w:jc w:val="center"/>
              <w:rPr>
                <w:rFonts w:hint="eastAsia" w:ascii="宋体" w:hAnsi="宋体" w:cs="宋体"/>
                <w:kern w:val="0"/>
                <w:sz w:val="18"/>
                <w:szCs w:val="18"/>
              </w:rPr>
            </w:pPr>
            <w:r>
              <w:rPr>
                <w:rFonts w:hint="eastAsia" w:ascii="宋体" w:hAnsi="宋体" w:cs="宋体"/>
                <w:kern w:val="0"/>
                <w:sz w:val="18"/>
                <w:szCs w:val="18"/>
              </w:rPr>
              <w:t>用户认证</w:t>
            </w:r>
          </w:p>
        </w:tc>
        <w:tc>
          <w:tcPr>
            <w:tcW w:w="0" w:type="auto"/>
            <w:shd w:val="clear" w:color="auto" w:fill="auto"/>
            <w:vAlign w:val="center"/>
          </w:tcPr>
          <w:p w14:paraId="37A8B171">
            <w:pPr>
              <w:widowControl/>
              <w:jc w:val="left"/>
              <w:rPr>
                <w:rFonts w:hint="eastAsia" w:ascii="宋体" w:hAnsi="宋体" w:cs="宋体"/>
                <w:kern w:val="0"/>
                <w:sz w:val="18"/>
                <w:szCs w:val="18"/>
              </w:rPr>
            </w:pPr>
            <w:r>
              <w:rPr>
                <w:rFonts w:hint="eastAsia" w:ascii="宋体" w:hAnsi="宋体" w:cs="宋体"/>
                <w:kern w:val="0"/>
                <w:sz w:val="18"/>
                <w:szCs w:val="18"/>
              </w:rPr>
              <w:t>支持用户名密码认证、IP/MAC认证、短信认证等本地认证方式。（提供证明材料，如官网截图、产品功能截图、第三方权威检测报告等）</w:t>
            </w:r>
          </w:p>
        </w:tc>
      </w:tr>
      <w:tr w14:paraId="530C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1F5099D">
            <w:pPr>
              <w:widowControl/>
              <w:jc w:val="left"/>
              <w:rPr>
                <w:rFonts w:hint="eastAsia" w:ascii="宋体" w:hAnsi="宋体" w:cs="宋体"/>
                <w:kern w:val="0"/>
                <w:sz w:val="18"/>
                <w:szCs w:val="18"/>
              </w:rPr>
            </w:pPr>
          </w:p>
        </w:tc>
        <w:tc>
          <w:tcPr>
            <w:tcW w:w="0" w:type="auto"/>
            <w:shd w:val="clear" w:color="auto" w:fill="auto"/>
            <w:vAlign w:val="center"/>
          </w:tcPr>
          <w:p w14:paraId="57C0283C">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0" w:type="auto"/>
            <w:vMerge w:val="continue"/>
            <w:vAlign w:val="center"/>
          </w:tcPr>
          <w:p w14:paraId="497630F8">
            <w:pPr>
              <w:widowControl/>
              <w:jc w:val="left"/>
              <w:rPr>
                <w:rFonts w:hint="eastAsia" w:ascii="宋体" w:hAnsi="宋体" w:cs="宋体"/>
                <w:kern w:val="0"/>
                <w:sz w:val="18"/>
                <w:szCs w:val="18"/>
              </w:rPr>
            </w:pPr>
          </w:p>
        </w:tc>
        <w:tc>
          <w:tcPr>
            <w:tcW w:w="0" w:type="auto"/>
            <w:shd w:val="clear" w:color="auto" w:fill="auto"/>
            <w:vAlign w:val="center"/>
          </w:tcPr>
          <w:p w14:paraId="3CA720ED">
            <w:pPr>
              <w:widowControl/>
              <w:jc w:val="left"/>
              <w:rPr>
                <w:rFonts w:hint="eastAsia" w:ascii="宋体" w:hAnsi="宋体" w:cs="宋体"/>
                <w:kern w:val="0"/>
                <w:sz w:val="18"/>
                <w:szCs w:val="18"/>
              </w:rPr>
            </w:pPr>
            <w:r>
              <w:rPr>
                <w:rFonts w:hint="eastAsia" w:ascii="宋体" w:hAnsi="宋体" w:cs="宋体"/>
                <w:kern w:val="0"/>
                <w:sz w:val="18"/>
                <w:szCs w:val="18"/>
              </w:rPr>
              <w:t>支持LDAP、Radius、POP3等第三方认证，其中LDAP认证应支持AD域、lotus ldap、novell ldap、open ldap IBM ldap等</w:t>
            </w:r>
          </w:p>
        </w:tc>
      </w:tr>
      <w:tr w14:paraId="4D73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9E291D8">
            <w:pPr>
              <w:widowControl/>
              <w:jc w:val="left"/>
              <w:rPr>
                <w:rFonts w:hint="eastAsia" w:ascii="宋体" w:hAnsi="宋体" w:cs="宋体"/>
                <w:kern w:val="0"/>
                <w:sz w:val="18"/>
                <w:szCs w:val="18"/>
              </w:rPr>
            </w:pPr>
          </w:p>
        </w:tc>
        <w:tc>
          <w:tcPr>
            <w:tcW w:w="0" w:type="auto"/>
            <w:shd w:val="clear" w:color="auto" w:fill="auto"/>
            <w:vAlign w:val="center"/>
          </w:tcPr>
          <w:p w14:paraId="0B2093AE">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0" w:type="auto"/>
            <w:vMerge w:val="continue"/>
            <w:vAlign w:val="center"/>
          </w:tcPr>
          <w:p w14:paraId="33671619">
            <w:pPr>
              <w:widowControl/>
              <w:jc w:val="left"/>
              <w:rPr>
                <w:rFonts w:hint="eastAsia" w:ascii="宋体" w:hAnsi="宋体" w:cs="宋体"/>
                <w:kern w:val="0"/>
                <w:sz w:val="18"/>
                <w:szCs w:val="18"/>
              </w:rPr>
            </w:pPr>
          </w:p>
        </w:tc>
        <w:tc>
          <w:tcPr>
            <w:tcW w:w="0" w:type="auto"/>
            <w:shd w:val="clear" w:color="auto" w:fill="auto"/>
            <w:vAlign w:val="center"/>
          </w:tcPr>
          <w:p w14:paraId="149A9B9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支持通过钉钉、企业微信等第三方协同办公软件进行授权认证；（提供产品界面截图）</w:t>
            </w:r>
          </w:p>
        </w:tc>
      </w:tr>
      <w:tr w14:paraId="7704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0CBFAD6C">
            <w:pPr>
              <w:widowControl/>
              <w:jc w:val="left"/>
              <w:rPr>
                <w:rFonts w:hint="eastAsia" w:ascii="宋体" w:hAnsi="宋体" w:cs="宋体"/>
                <w:kern w:val="0"/>
                <w:sz w:val="18"/>
                <w:szCs w:val="18"/>
              </w:rPr>
            </w:pPr>
          </w:p>
        </w:tc>
        <w:tc>
          <w:tcPr>
            <w:tcW w:w="0" w:type="auto"/>
            <w:shd w:val="clear" w:color="auto" w:fill="auto"/>
            <w:vAlign w:val="center"/>
          </w:tcPr>
          <w:p w14:paraId="020453E4">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0" w:type="auto"/>
            <w:shd w:val="clear" w:color="auto" w:fill="auto"/>
            <w:vAlign w:val="center"/>
          </w:tcPr>
          <w:p w14:paraId="162C8C35">
            <w:pPr>
              <w:widowControl/>
              <w:jc w:val="center"/>
              <w:rPr>
                <w:rFonts w:hint="eastAsia" w:ascii="宋体" w:hAnsi="宋体" w:cs="宋体"/>
                <w:kern w:val="0"/>
                <w:sz w:val="18"/>
                <w:szCs w:val="18"/>
              </w:rPr>
            </w:pPr>
            <w:r>
              <w:rPr>
                <w:rFonts w:hint="eastAsia" w:ascii="宋体" w:hAnsi="宋体" w:cs="宋体"/>
                <w:kern w:val="0"/>
                <w:sz w:val="18"/>
                <w:szCs w:val="18"/>
              </w:rPr>
              <w:t>单点登录</w:t>
            </w:r>
          </w:p>
        </w:tc>
        <w:tc>
          <w:tcPr>
            <w:tcW w:w="0" w:type="auto"/>
            <w:shd w:val="clear" w:color="auto" w:fill="auto"/>
            <w:vAlign w:val="center"/>
          </w:tcPr>
          <w:p w14:paraId="2082810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支持radius、AD、POP3、Proxy、PPPOE、 H3C IMC/CAMS、锐捷 SAM、城市热点等系统进行认证单点登录，可强制指定用户、指定IP段的用户必须使用单点登录；（提供证明材料，如官网截图、产品功能截图、第三方权威检测报告等）</w:t>
            </w:r>
          </w:p>
        </w:tc>
      </w:tr>
      <w:tr w14:paraId="0980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6B23B887">
            <w:pPr>
              <w:widowControl/>
              <w:jc w:val="left"/>
              <w:rPr>
                <w:rFonts w:hint="eastAsia" w:ascii="宋体" w:hAnsi="宋体" w:cs="宋体"/>
                <w:kern w:val="0"/>
                <w:sz w:val="18"/>
                <w:szCs w:val="18"/>
              </w:rPr>
            </w:pPr>
          </w:p>
        </w:tc>
        <w:tc>
          <w:tcPr>
            <w:tcW w:w="0" w:type="auto"/>
            <w:shd w:val="clear" w:color="auto" w:fill="auto"/>
            <w:vAlign w:val="center"/>
          </w:tcPr>
          <w:p w14:paraId="62AC3547">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0" w:type="auto"/>
            <w:vMerge w:val="restart"/>
            <w:shd w:val="clear" w:color="auto" w:fill="auto"/>
            <w:vAlign w:val="center"/>
          </w:tcPr>
          <w:p w14:paraId="4806FBF8">
            <w:pPr>
              <w:widowControl/>
              <w:jc w:val="center"/>
              <w:rPr>
                <w:rFonts w:hint="eastAsia" w:ascii="宋体" w:hAnsi="宋体" w:cs="宋体"/>
                <w:kern w:val="0"/>
                <w:sz w:val="18"/>
                <w:szCs w:val="18"/>
              </w:rPr>
            </w:pPr>
            <w:r>
              <w:rPr>
                <w:rFonts w:hint="eastAsia" w:ascii="宋体" w:hAnsi="宋体" w:cs="宋体"/>
                <w:kern w:val="0"/>
                <w:sz w:val="18"/>
                <w:szCs w:val="18"/>
              </w:rPr>
              <w:t>流控管理</w:t>
            </w:r>
          </w:p>
        </w:tc>
        <w:tc>
          <w:tcPr>
            <w:tcW w:w="0" w:type="auto"/>
            <w:shd w:val="clear" w:color="auto" w:fill="auto"/>
            <w:vAlign w:val="center"/>
          </w:tcPr>
          <w:p w14:paraId="682F73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在不同线路上，根据不同的应用、目标IP、时间段、日期、用户/用户组、位置、终端类型来保证或者限制流量，可根据百分比或数值设置通道带宽，并支持设置各通道的优先级；（提供证明材料，如官网截图、产品功能截图、第三方权威检测报告等）</w:t>
            </w:r>
          </w:p>
        </w:tc>
      </w:tr>
      <w:tr w14:paraId="6262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338461E0">
            <w:pPr>
              <w:widowControl/>
              <w:jc w:val="left"/>
              <w:rPr>
                <w:rFonts w:hint="eastAsia" w:ascii="宋体" w:hAnsi="宋体" w:cs="宋体"/>
                <w:kern w:val="0"/>
                <w:sz w:val="18"/>
                <w:szCs w:val="18"/>
              </w:rPr>
            </w:pPr>
          </w:p>
        </w:tc>
        <w:tc>
          <w:tcPr>
            <w:tcW w:w="0" w:type="auto"/>
            <w:shd w:val="clear" w:color="auto" w:fill="auto"/>
            <w:vAlign w:val="center"/>
          </w:tcPr>
          <w:p w14:paraId="47C8F524">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0" w:type="auto"/>
            <w:vMerge w:val="continue"/>
            <w:vAlign w:val="center"/>
          </w:tcPr>
          <w:p w14:paraId="339C0B96">
            <w:pPr>
              <w:widowControl/>
              <w:jc w:val="left"/>
              <w:rPr>
                <w:rFonts w:hint="eastAsia" w:ascii="宋体" w:hAnsi="宋体" w:cs="宋体"/>
                <w:kern w:val="0"/>
                <w:sz w:val="18"/>
                <w:szCs w:val="18"/>
              </w:rPr>
            </w:pPr>
          </w:p>
        </w:tc>
        <w:tc>
          <w:tcPr>
            <w:tcW w:w="0" w:type="auto"/>
            <w:shd w:val="clear" w:color="auto" w:fill="auto"/>
            <w:vAlign w:val="center"/>
          </w:tcPr>
          <w:p w14:paraId="7A8FCE6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支持在设置流量策略后，根据整体线路或者某流量通道内的空闲情况，自动启用和停止使用流量控制策略，以提升带宽的高使用率；空闲值可自定义；（提供产品界面截图）</w:t>
            </w:r>
          </w:p>
        </w:tc>
      </w:tr>
      <w:tr w14:paraId="2127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215F0E39">
            <w:pPr>
              <w:widowControl/>
              <w:jc w:val="left"/>
              <w:rPr>
                <w:rFonts w:hint="eastAsia" w:ascii="宋体" w:hAnsi="宋体" w:cs="宋体"/>
                <w:kern w:val="0"/>
                <w:sz w:val="18"/>
                <w:szCs w:val="18"/>
              </w:rPr>
            </w:pPr>
          </w:p>
        </w:tc>
        <w:tc>
          <w:tcPr>
            <w:tcW w:w="0" w:type="auto"/>
            <w:shd w:val="clear" w:color="auto" w:fill="auto"/>
            <w:vAlign w:val="center"/>
          </w:tcPr>
          <w:p w14:paraId="49DB728A">
            <w:pPr>
              <w:widowControl/>
              <w:jc w:val="center"/>
              <w:rPr>
                <w:rFonts w:hint="eastAsia" w:ascii="宋体" w:hAnsi="宋体" w:cs="宋体"/>
                <w:kern w:val="0"/>
                <w:sz w:val="18"/>
                <w:szCs w:val="18"/>
              </w:rPr>
            </w:pPr>
            <w:r>
              <w:rPr>
                <w:rFonts w:hint="eastAsia" w:ascii="宋体" w:hAnsi="宋体" w:cs="宋体"/>
                <w:kern w:val="0"/>
                <w:sz w:val="18"/>
                <w:szCs w:val="18"/>
              </w:rPr>
              <w:t>23</w:t>
            </w:r>
          </w:p>
        </w:tc>
        <w:tc>
          <w:tcPr>
            <w:tcW w:w="0" w:type="auto"/>
            <w:vMerge w:val="continue"/>
            <w:vAlign w:val="center"/>
          </w:tcPr>
          <w:p w14:paraId="6B8919C2">
            <w:pPr>
              <w:widowControl/>
              <w:jc w:val="left"/>
              <w:rPr>
                <w:rFonts w:hint="eastAsia" w:ascii="宋体" w:hAnsi="宋体" w:cs="宋体"/>
                <w:kern w:val="0"/>
                <w:sz w:val="18"/>
                <w:szCs w:val="18"/>
              </w:rPr>
            </w:pPr>
          </w:p>
        </w:tc>
        <w:tc>
          <w:tcPr>
            <w:tcW w:w="0" w:type="auto"/>
            <w:shd w:val="clear" w:color="auto" w:fill="auto"/>
            <w:vAlign w:val="center"/>
          </w:tcPr>
          <w:p w14:paraId="44ECD52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支持通过P2P流量进行流量控制；（提供产品界面截图）</w:t>
            </w:r>
          </w:p>
        </w:tc>
      </w:tr>
      <w:tr w14:paraId="0456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2A397322">
            <w:pPr>
              <w:widowControl/>
              <w:jc w:val="left"/>
              <w:rPr>
                <w:rFonts w:hint="eastAsia" w:ascii="宋体" w:hAnsi="宋体" w:cs="宋体"/>
                <w:kern w:val="0"/>
                <w:sz w:val="18"/>
                <w:szCs w:val="18"/>
              </w:rPr>
            </w:pPr>
          </w:p>
        </w:tc>
        <w:tc>
          <w:tcPr>
            <w:tcW w:w="0" w:type="auto"/>
            <w:shd w:val="clear" w:color="auto" w:fill="auto"/>
            <w:vAlign w:val="center"/>
          </w:tcPr>
          <w:p w14:paraId="61B9273F">
            <w:pPr>
              <w:widowControl/>
              <w:jc w:val="center"/>
              <w:rPr>
                <w:rFonts w:hint="eastAsia" w:ascii="宋体" w:hAnsi="宋体" w:cs="宋体"/>
                <w:kern w:val="0"/>
                <w:sz w:val="18"/>
                <w:szCs w:val="18"/>
              </w:rPr>
            </w:pPr>
            <w:r>
              <w:rPr>
                <w:rFonts w:hint="eastAsia" w:ascii="宋体" w:hAnsi="宋体" w:cs="宋体"/>
                <w:kern w:val="0"/>
                <w:sz w:val="18"/>
                <w:szCs w:val="18"/>
              </w:rPr>
              <w:t>24</w:t>
            </w:r>
          </w:p>
        </w:tc>
        <w:tc>
          <w:tcPr>
            <w:tcW w:w="0" w:type="auto"/>
            <w:vMerge w:val="continue"/>
            <w:vAlign w:val="center"/>
          </w:tcPr>
          <w:p w14:paraId="43C57B90">
            <w:pPr>
              <w:widowControl/>
              <w:jc w:val="left"/>
              <w:rPr>
                <w:rFonts w:hint="eastAsia" w:ascii="宋体" w:hAnsi="宋体" w:cs="宋体"/>
                <w:kern w:val="0"/>
                <w:sz w:val="18"/>
                <w:szCs w:val="18"/>
              </w:rPr>
            </w:pPr>
          </w:p>
        </w:tc>
        <w:tc>
          <w:tcPr>
            <w:tcW w:w="0" w:type="auto"/>
            <w:shd w:val="clear" w:color="auto" w:fill="auto"/>
            <w:vAlign w:val="center"/>
          </w:tcPr>
          <w:p w14:paraId="1C2D64FF">
            <w:pPr>
              <w:widowControl/>
              <w:jc w:val="left"/>
              <w:rPr>
                <w:rFonts w:hint="eastAsia" w:ascii="宋体" w:hAnsi="宋体" w:cs="宋体"/>
                <w:kern w:val="0"/>
                <w:sz w:val="18"/>
                <w:szCs w:val="18"/>
              </w:rPr>
            </w:pPr>
            <w:r>
              <w:rPr>
                <w:rFonts w:hint="eastAsia" w:ascii="宋体" w:hAnsi="宋体" w:cs="宋体"/>
                <w:kern w:val="0"/>
                <w:sz w:val="18"/>
                <w:szCs w:val="18"/>
              </w:rPr>
              <w:t>能够实时看到各级流控通道的状态：包括所属线路、瞬时速率、通道占用比例、用户数、保证带宽、最大带宽，启用状态等；（提供证明材料，如官网截图、产品功能截图、第三方权威检测报告等）</w:t>
            </w:r>
          </w:p>
        </w:tc>
      </w:tr>
      <w:tr w14:paraId="2C66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0D35246C">
            <w:pPr>
              <w:widowControl/>
              <w:jc w:val="left"/>
              <w:rPr>
                <w:rFonts w:hint="eastAsia" w:ascii="宋体" w:hAnsi="宋体" w:cs="宋体"/>
                <w:kern w:val="0"/>
                <w:sz w:val="18"/>
                <w:szCs w:val="18"/>
              </w:rPr>
            </w:pPr>
          </w:p>
        </w:tc>
        <w:tc>
          <w:tcPr>
            <w:tcW w:w="0" w:type="auto"/>
            <w:shd w:val="clear" w:color="auto" w:fill="auto"/>
            <w:vAlign w:val="center"/>
          </w:tcPr>
          <w:p w14:paraId="47CC330C">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0" w:type="auto"/>
            <w:vMerge w:val="restart"/>
            <w:shd w:val="clear" w:color="auto" w:fill="auto"/>
            <w:vAlign w:val="center"/>
          </w:tcPr>
          <w:p w14:paraId="04FBA98B">
            <w:pPr>
              <w:widowControl/>
              <w:jc w:val="center"/>
              <w:rPr>
                <w:rFonts w:hint="eastAsia" w:ascii="宋体" w:hAnsi="宋体" w:cs="宋体"/>
                <w:kern w:val="0"/>
                <w:sz w:val="18"/>
                <w:szCs w:val="18"/>
              </w:rPr>
            </w:pPr>
            <w:r>
              <w:rPr>
                <w:rFonts w:hint="eastAsia" w:ascii="宋体" w:hAnsi="宋体" w:cs="宋体"/>
                <w:kern w:val="0"/>
                <w:sz w:val="18"/>
                <w:szCs w:val="18"/>
              </w:rPr>
              <w:t>访问权限管理</w:t>
            </w:r>
          </w:p>
        </w:tc>
        <w:tc>
          <w:tcPr>
            <w:tcW w:w="0" w:type="auto"/>
            <w:shd w:val="clear" w:color="auto" w:fill="auto"/>
            <w:vAlign w:val="center"/>
          </w:tcPr>
          <w:p w14:paraId="3B550A65">
            <w:pPr>
              <w:widowControl/>
              <w:jc w:val="left"/>
              <w:rPr>
                <w:rFonts w:hint="eastAsia" w:ascii="宋体" w:hAnsi="宋体" w:cs="宋体"/>
                <w:kern w:val="0"/>
                <w:sz w:val="18"/>
                <w:szCs w:val="18"/>
              </w:rPr>
            </w:pPr>
            <w:r>
              <w:rPr>
                <w:rFonts w:hint="eastAsia" w:ascii="宋体" w:hAnsi="宋体" w:cs="宋体"/>
                <w:kern w:val="0"/>
                <w:sz w:val="18"/>
                <w:szCs w:val="18"/>
              </w:rPr>
              <w:t>支持根据IP、端口、协议等自定义应用规则；支持根据端口设定用户不允许访问的目标IP组提供的服务；支持根据不同的应用类型或具体的某种应用设置允许或拒绝；（提供证明材料，如官网截图、产品功能截图、第三方权威检测报告等）</w:t>
            </w:r>
          </w:p>
        </w:tc>
      </w:tr>
      <w:tr w14:paraId="40EF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0" w:type="auto"/>
            <w:vMerge w:val="continue"/>
            <w:vAlign w:val="center"/>
          </w:tcPr>
          <w:p w14:paraId="5C7D6F80">
            <w:pPr>
              <w:widowControl/>
              <w:jc w:val="left"/>
              <w:rPr>
                <w:rFonts w:hint="eastAsia" w:ascii="宋体" w:hAnsi="宋体" w:cs="宋体"/>
                <w:kern w:val="0"/>
                <w:sz w:val="18"/>
                <w:szCs w:val="18"/>
              </w:rPr>
            </w:pPr>
          </w:p>
        </w:tc>
        <w:tc>
          <w:tcPr>
            <w:tcW w:w="0" w:type="auto"/>
            <w:shd w:val="clear" w:color="auto" w:fill="auto"/>
            <w:vAlign w:val="center"/>
          </w:tcPr>
          <w:p w14:paraId="2F2DB077">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0" w:type="auto"/>
            <w:vMerge w:val="continue"/>
            <w:vAlign w:val="center"/>
          </w:tcPr>
          <w:p w14:paraId="473CDAE3">
            <w:pPr>
              <w:widowControl/>
              <w:jc w:val="left"/>
              <w:rPr>
                <w:rFonts w:hint="eastAsia" w:ascii="宋体" w:hAnsi="宋体" w:cs="宋体"/>
                <w:kern w:val="0"/>
                <w:sz w:val="18"/>
                <w:szCs w:val="18"/>
              </w:rPr>
            </w:pPr>
          </w:p>
        </w:tc>
        <w:tc>
          <w:tcPr>
            <w:tcW w:w="0" w:type="auto"/>
            <w:shd w:val="clear" w:color="auto" w:fill="auto"/>
            <w:vAlign w:val="center"/>
          </w:tcPr>
          <w:p w14:paraId="296672FD">
            <w:pPr>
              <w:widowControl/>
              <w:jc w:val="left"/>
              <w:rPr>
                <w:rFonts w:hint="eastAsia" w:ascii="宋体" w:hAnsi="宋体" w:cs="宋体"/>
                <w:kern w:val="0"/>
                <w:sz w:val="18"/>
                <w:szCs w:val="18"/>
              </w:rPr>
            </w:pPr>
            <w:r>
              <w:rPr>
                <w:rFonts w:hint="eastAsia" w:ascii="宋体" w:hAnsi="宋体" w:cs="宋体"/>
                <w:kern w:val="0"/>
                <w:sz w:val="18"/>
                <w:szCs w:val="18"/>
              </w:rPr>
              <w:t>设备内置应用识别规则库，支持超过9000种以上应用规则数、支持超过6000种以上的应用；支持根据标签选择应用，并支持给每个应用自定义标签；支持根据标签选择一类应用做控制；（提供产品界面截图）</w:t>
            </w:r>
          </w:p>
        </w:tc>
      </w:tr>
      <w:tr w14:paraId="7817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066BEE9C">
            <w:pPr>
              <w:widowControl/>
              <w:jc w:val="left"/>
              <w:rPr>
                <w:rFonts w:hint="eastAsia" w:ascii="宋体" w:hAnsi="宋体" w:cs="宋体"/>
                <w:kern w:val="0"/>
                <w:sz w:val="18"/>
                <w:szCs w:val="18"/>
              </w:rPr>
            </w:pPr>
          </w:p>
        </w:tc>
        <w:tc>
          <w:tcPr>
            <w:tcW w:w="0" w:type="auto"/>
            <w:shd w:val="clear" w:color="auto" w:fill="auto"/>
            <w:vAlign w:val="center"/>
          </w:tcPr>
          <w:p w14:paraId="068601BC">
            <w:pPr>
              <w:widowControl/>
              <w:jc w:val="center"/>
              <w:rPr>
                <w:rFonts w:hint="eastAsia" w:ascii="宋体" w:hAnsi="宋体" w:cs="宋体"/>
                <w:kern w:val="0"/>
                <w:sz w:val="18"/>
                <w:szCs w:val="18"/>
              </w:rPr>
            </w:pPr>
            <w:r>
              <w:rPr>
                <w:rFonts w:hint="eastAsia" w:ascii="宋体" w:hAnsi="宋体" w:cs="宋体"/>
                <w:kern w:val="0"/>
                <w:sz w:val="18"/>
                <w:szCs w:val="18"/>
              </w:rPr>
              <w:t>27</w:t>
            </w:r>
          </w:p>
        </w:tc>
        <w:tc>
          <w:tcPr>
            <w:tcW w:w="0" w:type="auto"/>
            <w:vMerge w:val="continue"/>
            <w:vAlign w:val="center"/>
          </w:tcPr>
          <w:p w14:paraId="0B4C5400">
            <w:pPr>
              <w:widowControl/>
              <w:jc w:val="left"/>
              <w:rPr>
                <w:rFonts w:hint="eastAsia" w:ascii="宋体" w:hAnsi="宋体" w:cs="宋体"/>
                <w:kern w:val="0"/>
                <w:sz w:val="18"/>
                <w:szCs w:val="18"/>
              </w:rPr>
            </w:pPr>
          </w:p>
        </w:tc>
        <w:tc>
          <w:tcPr>
            <w:tcW w:w="0" w:type="auto"/>
            <w:shd w:val="clear" w:color="auto" w:fill="auto"/>
            <w:vAlign w:val="center"/>
          </w:tcPr>
          <w:p w14:paraId="2E402F41">
            <w:pPr>
              <w:widowControl/>
              <w:jc w:val="left"/>
              <w:rPr>
                <w:rFonts w:hint="eastAsia" w:ascii="宋体" w:hAnsi="宋体" w:cs="宋体"/>
                <w:kern w:val="0"/>
                <w:sz w:val="18"/>
                <w:szCs w:val="18"/>
              </w:rPr>
            </w:pPr>
            <w:r>
              <w:rPr>
                <w:rFonts w:hint="eastAsia" w:ascii="宋体" w:hAnsi="宋体" w:cs="宋体"/>
                <w:kern w:val="0"/>
                <w:sz w:val="18"/>
                <w:szCs w:val="18"/>
              </w:rPr>
              <w:t>能够针对各种URL类型做识别和分类（提供产品界面截图）</w:t>
            </w:r>
          </w:p>
        </w:tc>
      </w:tr>
      <w:tr w14:paraId="786E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0" w:type="auto"/>
            <w:vMerge w:val="continue"/>
            <w:vAlign w:val="center"/>
          </w:tcPr>
          <w:p w14:paraId="6EB8C015">
            <w:pPr>
              <w:widowControl/>
              <w:jc w:val="left"/>
              <w:rPr>
                <w:rFonts w:hint="eastAsia" w:ascii="宋体" w:hAnsi="宋体" w:cs="宋体"/>
                <w:kern w:val="0"/>
                <w:sz w:val="18"/>
                <w:szCs w:val="18"/>
              </w:rPr>
            </w:pPr>
          </w:p>
        </w:tc>
        <w:tc>
          <w:tcPr>
            <w:tcW w:w="0" w:type="auto"/>
            <w:shd w:val="clear" w:color="auto" w:fill="auto"/>
            <w:vAlign w:val="center"/>
          </w:tcPr>
          <w:p w14:paraId="720CFD51">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0" w:type="auto"/>
            <w:vMerge w:val="continue"/>
            <w:vAlign w:val="center"/>
          </w:tcPr>
          <w:p w14:paraId="447E111C">
            <w:pPr>
              <w:widowControl/>
              <w:jc w:val="left"/>
              <w:rPr>
                <w:rFonts w:hint="eastAsia" w:ascii="宋体" w:hAnsi="宋体" w:cs="宋体"/>
                <w:kern w:val="0"/>
                <w:sz w:val="18"/>
                <w:szCs w:val="18"/>
              </w:rPr>
            </w:pPr>
          </w:p>
        </w:tc>
        <w:tc>
          <w:tcPr>
            <w:tcW w:w="0" w:type="auto"/>
            <w:shd w:val="clear" w:color="auto" w:fill="auto"/>
            <w:vAlign w:val="center"/>
          </w:tcPr>
          <w:p w14:paraId="444F493C">
            <w:pPr>
              <w:widowControl/>
              <w:jc w:val="left"/>
              <w:rPr>
                <w:rFonts w:hint="eastAsia" w:ascii="宋体" w:hAnsi="宋体" w:cs="宋体"/>
                <w:kern w:val="0"/>
                <w:sz w:val="18"/>
                <w:szCs w:val="18"/>
              </w:rPr>
            </w:pPr>
            <w:r>
              <w:rPr>
                <w:rFonts w:hint="eastAsia" w:ascii="宋体" w:hAnsi="宋体" w:cs="宋体"/>
                <w:kern w:val="0"/>
                <w:sz w:val="18"/>
                <w:szCs w:val="18"/>
              </w:rPr>
              <w:t>支持根据访问的URL和网页关键字进行网页过滤，支持设置拒绝以IP访问网页行为；支持根据文件类型限制HTTP、FTP方式上传、下载行为；（提供证明材料，如官网截图、产品功能截图、第三方权威检测报告等）</w:t>
            </w:r>
          </w:p>
        </w:tc>
      </w:tr>
      <w:tr w14:paraId="44A2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57E48C0">
            <w:pPr>
              <w:widowControl/>
              <w:jc w:val="left"/>
              <w:rPr>
                <w:rFonts w:hint="eastAsia" w:ascii="宋体" w:hAnsi="宋体" w:cs="宋体"/>
                <w:kern w:val="0"/>
                <w:sz w:val="18"/>
                <w:szCs w:val="18"/>
              </w:rPr>
            </w:pPr>
          </w:p>
        </w:tc>
        <w:tc>
          <w:tcPr>
            <w:tcW w:w="0" w:type="auto"/>
            <w:shd w:val="clear" w:color="auto" w:fill="auto"/>
            <w:vAlign w:val="center"/>
          </w:tcPr>
          <w:p w14:paraId="08DCBE6D">
            <w:pPr>
              <w:widowControl/>
              <w:jc w:val="center"/>
              <w:rPr>
                <w:rFonts w:hint="eastAsia" w:ascii="宋体" w:hAnsi="宋体" w:cs="宋体"/>
                <w:kern w:val="0"/>
                <w:sz w:val="18"/>
                <w:szCs w:val="18"/>
              </w:rPr>
            </w:pPr>
            <w:r>
              <w:rPr>
                <w:rFonts w:hint="eastAsia" w:ascii="宋体" w:hAnsi="宋体" w:cs="宋体"/>
                <w:kern w:val="0"/>
                <w:sz w:val="18"/>
                <w:szCs w:val="18"/>
              </w:rPr>
              <w:t>29</w:t>
            </w:r>
          </w:p>
        </w:tc>
        <w:tc>
          <w:tcPr>
            <w:tcW w:w="0" w:type="auto"/>
            <w:shd w:val="clear" w:color="auto" w:fill="auto"/>
            <w:vAlign w:val="center"/>
          </w:tcPr>
          <w:p w14:paraId="535FD04A">
            <w:pPr>
              <w:widowControl/>
              <w:jc w:val="center"/>
              <w:rPr>
                <w:rFonts w:hint="eastAsia" w:ascii="宋体" w:hAnsi="宋体" w:cs="宋体"/>
                <w:kern w:val="0"/>
                <w:sz w:val="18"/>
                <w:szCs w:val="18"/>
              </w:rPr>
            </w:pPr>
            <w:r>
              <w:rPr>
                <w:rFonts w:hint="eastAsia" w:ascii="宋体" w:hAnsi="宋体" w:cs="宋体"/>
                <w:kern w:val="0"/>
                <w:sz w:val="18"/>
                <w:szCs w:val="18"/>
              </w:rPr>
              <w:t>日志管理</w:t>
            </w:r>
          </w:p>
        </w:tc>
        <w:tc>
          <w:tcPr>
            <w:tcW w:w="0" w:type="auto"/>
            <w:shd w:val="clear" w:color="auto" w:fill="auto"/>
            <w:vAlign w:val="center"/>
          </w:tcPr>
          <w:p w14:paraId="420C566B">
            <w:pPr>
              <w:widowControl/>
              <w:jc w:val="left"/>
              <w:rPr>
                <w:rFonts w:hint="eastAsia" w:ascii="宋体" w:hAnsi="宋体" w:cs="宋体"/>
                <w:kern w:val="0"/>
                <w:sz w:val="18"/>
                <w:szCs w:val="18"/>
              </w:rPr>
            </w:pPr>
            <w:r>
              <w:rPr>
                <w:rFonts w:hint="eastAsia" w:ascii="宋体" w:hAnsi="宋体" w:cs="宋体"/>
                <w:kern w:val="0"/>
                <w:sz w:val="18"/>
                <w:szCs w:val="18"/>
              </w:rPr>
              <w:t>支持内置、外置日志中心；（提供证明材料，如官网截图、产品功能截图、第三方权威检测报告等）</w:t>
            </w:r>
          </w:p>
        </w:tc>
      </w:tr>
      <w:tr w14:paraId="113C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Merge w:val="continue"/>
            <w:vAlign w:val="center"/>
          </w:tcPr>
          <w:p w14:paraId="4D0E9E51">
            <w:pPr>
              <w:widowControl/>
              <w:jc w:val="left"/>
              <w:rPr>
                <w:rFonts w:hint="eastAsia" w:ascii="宋体" w:hAnsi="宋体" w:cs="宋体"/>
                <w:kern w:val="0"/>
                <w:sz w:val="18"/>
                <w:szCs w:val="18"/>
              </w:rPr>
            </w:pPr>
          </w:p>
        </w:tc>
        <w:tc>
          <w:tcPr>
            <w:tcW w:w="0" w:type="auto"/>
            <w:shd w:val="clear" w:color="auto" w:fill="auto"/>
            <w:vAlign w:val="center"/>
          </w:tcPr>
          <w:p w14:paraId="3904046E">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0" w:type="auto"/>
            <w:shd w:val="clear" w:color="auto" w:fill="auto"/>
            <w:vAlign w:val="center"/>
          </w:tcPr>
          <w:p w14:paraId="6E6471D3">
            <w:pPr>
              <w:widowControl/>
              <w:jc w:val="center"/>
              <w:rPr>
                <w:rFonts w:hint="eastAsia" w:ascii="宋体" w:hAnsi="宋体" w:cs="宋体"/>
                <w:kern w:val="0"/>
                <w:sz w:val="18"/>
                <w:szCs w:val="18"/>
              </w:rPr>
            </w:pPr>
            <w:r>
              <w:rPr>
                <w:rFonts w:hint="eastAsia" w:ascii="宋体" w:hAnsi="宋体" w:cs="宋体"/>
                <w:kern w:val="0"/>
                <w:sz w:val="18"/>
                <w:szCs w:val="18"/>
              </w:rPr>
              <w:t>故障排查</w:t>
            </w:r>
          </w:p>
        </w:tc>
        <w:tc>
          <w:tcPr>
            <w:tcW w:w="0" w:type="auto"/>
            <w:shd w:val="clear" w:color="000000" w:fill="FFFFFF"/>
            <w:vAlign w:val="center"/>
          </w:tcPr>
          <w:p w14:paraId="48C95EB3">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支持网络故障排查，支持bypass功能，支持PPS异常、丢包异常、ARP异常、内网DOS攻击等异常情况实时监测；（提供产品界面截图）</w:t>
            </w:r>
          </w:p>
        </w:tc>
      </w:tr>
      <w:tr w14:paraId="2746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0" w:type="auto"/>
            <w:vMerge w:val="continue"/>
            <w:vAlign w:val="center"/>
          </w:tcPr>
          <w:p w14:paraId="1D4F368C">
            <w:pPr>
              <w:widowControl/>
              <w:jc w:val="left"/>
              <w:rPr>
                <w:rFonts w:hint="eastAsia" w:ascii="宋体" w:hAnsi="宋体" w:cs="宋体"/>
                <w:kern w:val="0"/>
                <w:sz w:val="18"/>
                <w:szCs w:val="18"/>
              </w:rPr>
            </w:pPr>
          </w:p>
        </w:tc>
        <w:tc>
          <w:tcPr>
            <w:tcW w:w="0" w:type="auto"/>
            <w:shd w:val="clear" w:color="auto" w:fill="auto"/>
            <w:vAlign w:val="center"/>
          </w:tcPr>
          <w:p w14:paraId="08D73927">
            <w:pPr>
              <w:widowControl/>
              <w:jc w:val="center"/>
              <w:rPr>
                <w:rFonts w:hint="eastAsia" w:ascii="宋体" w:hAnsi="宋体" w:cs="宋体"/>
                <w:kern w:val="0"/>
                <w:sz w:val="18"/>
                <w:szCs w:val="18"/>
              </w:rPr>
            </w:pPr>
            <w:r>
              <w:rPr>
                <w:rFonts w:hint="eastAsia" w:ascii="宋体" w:hAnsi="宋体" w:cs="宋体"/>
                <w:kern w:val="0"/>
                <w:sz w:val="18"/>
                <w:szCs w:val="18"/>
              </w:rPr>
              <w:t>31</w:t>
            </w:r>
          </w:p>
        </w:tc>
        <w:tc>
          <w:tcPr>
            <w:tcW w:w="0" w:type="auto"/>
            <w:vMerge w:val="restart"/>
            <w:shd w:val="clear" w:color="auto" w:fill="auto"/>
            <w:vAlign w:val="center"/>
          </w:tcPr>
          <w:p w14:paraId="79E6644B">
            <w:pPr>
              <w:widowControl/>
              <w:jc w:val="center"/>
              <w:rPr>
                <w:rFonts w:hint="eastAsia" w:ascii="宋体" w:hAnsi="宋体" w:cs="宋体"/>
                <w:kern w:val="0"/>
                <w:sz w:val="18"/>
                <w:szCs w:val="18"/>
              </w:rPr>
            </w:pPr>
            <w:r>
              <w:rPr>
                <w:rFonts w:hint="eastAsia" w:ascii="宋体" w:hAnsi="宋体" w:cs="宋体"/>
                <w:kern w:val="0"/>
                <w:sz w:val="18"/>
                <w:szCs w:val="18"/>
              </w:rPr>
              <w:t>集中管控</w:t>
            </w:r>
          </w:p>
        </w:tc>
        <w:tc>
          <w:tcPr>
            <w:tcW w:w="0" w:type="auto"/>
            <w:shd w:val="clear" w:color="auto" w:fill="auto"/>
            <w:vAlign w:val="center"/>
          </w:tcPr>
          <w:p w14:paraId="46965A4E">
            <w:pPr>
              <w:widowControl/>
              <w:jc w:val="left"/>
              <w:rPr>
                <w:rFonts w:hint="eastAsia" w:ascii="宋体" w:hAnsi="宋体" w:cs="宋体"/>
                <w:kern w:val="0"/>
                <w:sz w:val="18"/>
                <w:szCs w:val="18"/>
              </w:rPr>
            </w:pPr>
            <w:r>
              <w:rPr>
                <w:rFonts w:hint="eastAsia" w:ascii="宋体" w:hAnsi="宋体" w:cs="宋体"/>
                <w:kern w:val="0"/>
                <w:sz w:val="18"/>
                <w:szCs w:val="18"/>
              </w:rPr>
              <w:t>多台设备支持通过统一平台集中管理、集中配置等；</w:t>
            </w:r>
          </w:p>
        </w:tc>
      </w:tr>
      <w:tr w14:paraId="7D9D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14:paraId="36BF0D2F">
            <w:pPr>
              <w:widowControl/>
              <w:jc w:val="left"/>
              <w:rPr>
                <w:rFonts w:hint="eastAsia" w:ascii="宋体" w:hAnsi="宋体" w:cs="宋体"/>
                <w:kern w:val="0"/>
                <w:sz w:val="18"/>
                <w:szCs w:val="18"/>
              </w:rPr>
            </w:pPr>
          </w:p>
        </w:tc>
        <w:tc>
          <w:tcPr>
            <w:tcW w:w="0" w:type="auto"/>
            <w:shd w:val="clear" w:color="000000" w:fill="FFFFFF"/>
            <w:vAlign w:val="center"/>
          </w:tcPr>
          <w:p w14:paraId="7A2EBB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32</w:t>
            </w:r>
          </w:p>
        </w:tc>
        <w:tc>
          <w:tcPr>
            <w:tcW w:w="0" w:type="auto"/>
            <w:vMerge w:val="continue"/>
            <w:vAlign w:val="center"/>
          </w:tcPr>
          <w:p w14:paraId="34AF490E">
            <w:pPr>
              <w:widowControl/>
              <w:jc w:val="left"/>
              <w:rPr>
                <w:rFonts w:hint="eastAsia" w:ascii="宋体" w:hAnsi="宋体" w:cs="宋体"/>
                <w:kern w:val="0"/>
                <w:sz w:val="18"/>
                <w:szCs w:val="18"/>
              </w:rPr>
            </w:pPr>
          </w:p>
        </w:tc>
        <w:tc>
          <w:tcPr>
            <w:tcW w:w="0" w:type="auto"/>
            <w:shd w:val="clear" w:color="auto" w:fill="auto"/>
            <w:vAlign w:val="center"/>
          </w:tcPr>
          <w:p w14:paraId="2E4E6E72">
            <w:pPr>
              <w:widowControl/>
              <w:jc w:val="left"/>
              <w:rPr>
                <w:rFonts w:hint="eastAsia" w:ascii="宋体" w:hAnsi="宋体" w:cs="宋体"/>
                <w:kern w:val="0"/>
                <w:sz w:val="18"/>
                <w:szCs w:val="18"/>
              </w:rPr>
            </w:pPr>
            <w:r>
              <w:rPr>
                <w:rFonts w:hint="eastAsia" w:ascii="宋体" w:hAnsi="宋体" w:cs="宋体"/>
                <w:kern w:val="0"/>
                <w:sz w:val="18"/>
                <w:szCs w:val="18"/>
              </w:rPr>
              <w:t>为应对互联网AI应用大规模使用可能出现的数据安全风险，需要具备AI应用识别和管控能力；</w:t>
            </w:r>
          </w:p>
        </w:tc>
      </w:tr>
      <w:tr w14:paraId="5CCC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Merge w:val="continue"/>
            <w:vAlign w:val="center"/>
          </w:tcPr>
          <w:p w14:paraId="79B845FC">
            <w:pPr>
              <w:widowControl/>
              <w:jc w:val="left"/>
              <w:rPr>
                <w:rFonts w:hint="eastAsia" w:ascii="宋体" w:hAnsi="宋体" w:cs="宋体"/>
                <w:kern w:val="0"/>
                <w:sz w:val="18"/>
                <w:szCs w:val="18"/>
              </w:rPr>
            </w:pPr>
          </w:p>
        </w:tc>
        <w:tc>
          <w:tcPr>
            <w:tcW w:w="0" w:type="auto"/>
            <w:shd w:val="clear" w:color="auto" w:fill="auto"/>
            <w:vAlign w:val="center"/>
          </w:tcPr>
          <w:p w14:paraId="68159932">
            <w:pPr>
              <w:widowControl/>
              <w:jc w:val="center"/>
              <w:rPr>
                <w:rFonts w:hint="eastAsia" w:ascii="宋体" w:hAnsi="宋体" w:cs="宋体"/>
                <w:kern w:val="0"/>
                <w:sz w:val="18"/>
                <w:szCs w:val="18"/>
              </w:rPr>
            </w:pPr>
            <w:r>
              <w:rPr>
                <w:rFonts w:hint="eastAsia" w:ascii="宋体" w:hAnsi="宋体" w:cs="宋体"/>
                <w:kern w:val="0"/>
                <w:sz w:val="18"/>
                <w:szCs w:val="18"/>
              </w:rPr>
              <w:t>33</w:t>
            </w:r>
          </w:p>
        </w:tc>
        <w:tc>
          <w:tcPr>
            <w:tcW w:w="0" w:type="auto"/>
            <w:shd w:val="clear" w:color="auto" w:fill="auto"/>
            <w:vAlign w:val="center"/>
          </w:tcPr>
          <w:p w14:paraId="353495EF">
            <w:pPr>
              <w:widowControl/>
              <w:jc w:val="center"/>
              <w:rPr>
                <w:rFonts w:hint="eastAsia" w:ascii="宋体" w:hAnsi="宋体" w:cs="宋体"/>
                <w:kern w:val="0"/>
                <w:sz w:val="18"/>
                <w:szCs w:val="18"/>
              </w:rPr>
            </w:pPr>
            <w:r>
              <w:rPr>
                <w:rFonts w:hint="eastAsia" w:ascii="宋体" w:hAnsi="宋体" w:cs="宋体"/>
                <w:kern w:val="0"/>
                <w:sz w:val="18"/>
                <w:szCs w:val="18"/>
              </w:rPr>
              <w:t>升级服务</w:t>
            </w:r>
          </w:p>
        </w:tc>
        <w:tc>
          <w:tcPr>
            <w:tcW w:w="0" w:type="auto"/>
            <w:shd w:val="clear" w:color="auto" w:fill="auto"/>
            <w:vAlign w:val="center"/>
          </w:tcPr>
          <w:p w14:paraId="3325D4B0">
            <w:pPr>
              <w:widowControl/>
              <w:jc w:val="left"/>
              <w:rPr>
                <w:rFonts w:hint="eastAsia" w:ascii="宋体" w:hAnsi="宋体" w:cs="宋体"/>
                <w:kern w:val="0"/>
                <w:sz w:val="18"/>
                <w:szCs w:val="18"/>
              </w:rPr>
            </w:pPr>
            <w:r>
              <w:rPr>
                <w:rFonts w:hint="eastAsia" w:ascii="宋体" w:hAnsi="宋体" w:cs="宋体"/>
                <w:kern w:val="0"/>
                <w:sz w:val="18"/>
                <w:szCs w:val="18"/>
              </w:rPr>
              <w:t>配置URL/应用识别等特征库5年升级授权函。</w:t>
            </w:r>
          </w:p>
        </w:tc>
      </w:tr>
    </w:tbl>
    <w:p w14:paraId="3192858B">
      <w:pPr>
        <w:pStyle w:val="18"/>
        <w:ind w:left="0" w:leftChars="0" w:firstLine="0" w:firstLineChars="0"/>
      </w:pPr>
    </w:p>
    <w:p w14:paraId="79F56ED1">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技术方案</w:t>
      </w:r>
    </w:p>
    <w:p w14:paraId="14B47601">
      <w:pPr>
        <w:spacing w:line="360" w:lineRule="auto"/>
        <w:ind w:firstLine="480" w:firstLineChars="200"/>
        <w:rPr>
          <w:rFonts w:hint="eastAsia" w:asciiTheme="minorEastAsia" w:hAnsiTheme="minorEastAsia" w:eastAsiaTheme="minorEastAsia"/>
          <w:szCs w:val="24"/>
        </w:rPr>
      </w:pPr>
    </w:p>
    <w:p w14:paraId="728C9718"/>
    <w:p w14:paraId="186072DF">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.5.1</w:t>
      </w:r>
      <w:r>
        <w:rPr>
          <w:rFonts w:hint="eastAsia" w:asciiTheme="minorEastAsia" w:hAnsiTheme="minorEastAsia" w:eastAsiaTheme="minorEastAsia"/>
          <w:sz w:val="24"/>
          <w:szCs w:val="24"/>
        </w:rPr>
        <w:t>深圳及贵阳I</w:t>
      </w:r>
      <w:r>
        <w:rPr>
          <w:rFonts w:asciiTheme="minorEastAsia" w:hAnsiTheme="minorEastAsia" w:eastAsiaTheme="minorEastAsia"/>
          <w:sz w:val="24"/>
          <w:szCs w:val="24"/>
        </w:rPr>
        <w:t>DC</w:t>
      </w:r>
      <w:r>
        <w:rPr>
          <w:rFonts w:hint="eastAsia" w:asciiTheme="minorEastAsia" w:hAnsiTheme="minorEastAsia" w:eastAsiaTheme="minorEastAsia"/>
          <w:sz w:val="24"/>
          <w:szCs w:val="24"/>
        </w:rPr>
        <w:t>广域网区防火墙设备及各分支机构上网行为管理设备更新分析</w:t>
      </w:r>
    </w:p>
    <w:p w14:paraId="33735261">
      <w:pPr>
        <w:adjustRightInd w:val="0"/>
        <w:snapToGrid w:val="0"/>
        <w:spacing w:line="360" w:lineRule="auto"/>
        <w:ind w:left="420"/>
        <w:rPr>
          <w:rFonts w:hint="eastAsia" w:ascii="仿宋" w:hAnsi="仿宋" w:eastAsia="仿宋" w:cs="仿宋"/>
          <w:sz w:val="28"/>
          <w:szCs w:val="28"/>
        </w:rPr>
      </w:pPr>
      <w:r>
        <w:drawing>
          <wp:inline distT="0" distB="0" distL="0" distR="0">
            <wp:extent cx="5274310" cy="4855845"/>
            <wp:effectExtent l="0" t="0" r="0" b="0"/>
            <wp:docPr id="1155253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53545"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4855845"/>
                    </a:xfrm>
                    <a:prstGeom prst="rect">
                      <a:avLst/>
                    </a:prstGeom>
                    <a:noFill/>
                    <a:ln>
                      <a:noFill/>
                    </a:ln>
                  </pic:spPr>
                </pic:pic>
              </a:graphicData>
            </a:graphic>
          </wp:inline>
        </w:drawing>
      </w:r>
    </w:p>
    <w:p w14:paraId="0D0DEB1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上图为深圳及贵阳I</w:t>
      </w:r>
      <w:r>
        <w:rPr>
          <w:rFonts w:asciiTheme="minorEastAsia" w:hAnsiTheme="minorEastAsia" w:eastAsiaTheme="minorEastAsia"/>
          <w:szCs w:val="24"/>
        </w:rPr>
        <w:t>DC</w:t>
      </w:r>
      <w:r>
        <w:rPr>
          <w:rFonts w:hint="eastAsia" w:asciiTheme="minorEastAsia" w:hAnsiTheme="minorEastAsia" w:eastAsiaTheme="minorEastAsia"/>
          <w:szCs w:val="24"/>
        </w:rPr>
        <w:t>广域网区拓扑。网络总体拓扑大体架构不做调整。升级设备明细如下：</w:t>
      </w:r>
    </w:p>
    <w:p w14:paraId="7D4D5871">
      <w:pPr>
        <w:pStyle w:val="18"/>
        <w:ind w:left="0" w:leftChars="0" w:firstLine="480" w:firstLineChars="0"/>
        <w:rPr>
          <w:rFonts w:hint="eastAsia" w:asciiTheme="minorEastAsia" w:hAnsiTheme="minorEastAsia" w:eastAsiaTheme="minorEastAsia"/>
        </w:rPr>
      </w:pPr>
      <w:r>
        <w:rPr>
          <w:rFonts w:hint="eastAsia" w:asciiTheme="minorEastAsia" w:hAnsiTheme="minorEastAsia" w:eastAsiaTheme="minorEastAsia"/>
        </w:rPr>
        <w:t>4台千兆防火墙。</w:t>
      </w:r>
    </w:p>
    <w:p w14:paraId="37B9B534">
      <w:pPr>
        <w:pStyle w:val="18"/>
        <w:ind w:left="0" w:leftChars="0" w:firstLine="480" w:firstLineChars="0"/>
        <w:rPr>
          <w:rFonts w:hint="eastAsia" w:asciiTheme="minorEastAsia" w:hAnsiTheme="minorEastAsia" w:eastAsiaTheme="minorEastAsia"/>
        </w:rPr>
      </w:pPr>
      <w:r>
        <w:rPr>
          <w:rFonts w:hint="eastAsia" w:asciiTheme="minorEastAsia" w:hAnsiTheme="minorEastAsia" w:eastAsiaTheme="minorEastAsia"/>
        </w:rPr>
        <w:t>34台上网行为管理设备。</w:t>
      </w:r>
    </w:p>
    <w:p w14:paraId="01A49C16">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.5.</w:t>
      </w:r>
      <w:r>
        <w:rPr>
          <w:rFonts w:hint="eastAsia" w:asciiTheme="minorEastAsia" w:hAnsiTheme="minorEastAsia" w:eastAsiaTheme="minorEastAsia"/>
          <w:sz w:val="24"/>
          <w:szCs w:val="24"/>
        </w:rPr>
        <w:t>2升级服务要求</w:t>
      </w:r>
    </w:p>
    <w:p w14:paraId="5F873F3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中标人须对网络设备软件提供免费升级服务。设备验收后，如中天国富有需求，中标人须免费协助中天国富对网络设备版本进行评估，并提交升级建议。如中天国富确认需升级，中标人应提交《升级方案建议书》，内容包括但不限于测试要点、配置的备份、升级的步骤和回退方案。</w:t>
      </w:r>
    </w:p>
    <w:p w14:paraId="414A09DF">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保修及服务</w:t>
      </w:r>
    </w:p>
    <w:p w14:paraId="4B60523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所有设备需提供设备5 年原厂维保服务。</w:t>
      </w:r>
    </w:p>
    <w:p w14:paraId="4888AD3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具体服务等级要求详见附件一采购设备清单</w:t>
      </w:r>
    </w:p>
    <w:p w14:paraId="69C0101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中标人自身需要提供 5年的技术支持服务。服务要求如下： </w:t>
      </w:r>
    </w:p>
    <w:p w14:paraId="64E69FA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（1）电话支持服务：中标人需提供7×24电话支持服务。 </w:t>
      </w:r>
    </w:p>
    <w:p w14:paraId="3201088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（2）现场支持服务：中标人需提供7×24现场技术支持服务，15分钟内对招标人所提出的技术支持要求做出响应，重大故障2小时内工程师到现场，3小时内对问题做出诊断说明。 </w:t>
      </w:r>
    </w:p>
    <w:p w14:paraId="5D3E950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（3）现场保障服务：在招标人提出重大生产变更，或重要时段保障服务需要时，中标人提供现场保障服务。 </w:t>
      </w:r>
    </w:p>
    <w:p w14:paraId="7FEB56F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（4）现场巡检服务：中标人需定期对招标人采购的产品进行巡检服务，及时发现并解决问题，并提交相应健康检查分析报告。 </w:t>
      </w:r>
    </w:p>
    <w:p w14:paraId="6654580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 xml:space="preserve">（5）软件升级服务：如原厂发布新版本，中标人须对软件版本进行评估，向招标人提交升级建议。如招标人确认需升级，中标人应提交《升级方案建议书》，内容包括但不限于测试要点、配置的备份、升级的步骤和回退方案。 </w:t>
      </w:r>
    </w:p>
    <w:p w14:paraId="05FC365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（6）资料更新服务：维护服务期内，要求中标人定期为招标人进行相关技术资料的更新维护。</w:t>
      </w:r>
    </w:p>
    <w:p w14:paraId="13060833">
      <w:pPr>
        <w:pStyle w:val="3"/>
        <w:numPr>
          <w:ilvl w:val="1"/>
          <w:numId w:val="1"/>
        </w:numPr>
        <w:spacing w:line="360" w:lineRule="auto"/>
        <w:rPr>
          <w:rFonts w:hint="eastAsia" w:asciiTheme="minorEastAsia" w:hAnsiTheme="minorEastAsia" w:eastAsiaTheme="minorEastAsia"/>
          <w:sz w:val="24"/>
          <w:szCs w:val="24"/>
        </w:rPr>
      </w:pPr>
      <w:r>
        <w:rPr>
          <w:rFonts w:hint="eastAsia"/>
          <w:sz w:val="24"/>
          <w:szCs w:val="24"/>
        </w:rPr>
        <w:t>资料服务要求</w:t>
      </w:r>
    </w:p>
    <w:p w14:paraId="2DC220BC">
      <w:pPr>
        <w:spacing w:line="360" w:lineRule="auto"/>
        <w:ind w:firstLine="480" w:firstLineChars="200"/>
        <w:rPr>
          <w:rFonts w:hint="eastAsia" w:ascii="宋体" w:hAnsi="宋体"/>
          <w:bCs/>
          <w:szCs w:val="24"/>
        </w:rPr>
      </w:pPr>
      <w:r>
        <w:rPr>
          <w:rFonts w:hint="eastAsia" w:ascii="宋体" w:hAnsi="宋体"/>
          <w:bCs/>
          <w:szCs w:val="24"/>
        </w:rPr>
        <w:t>项目验收前，要求中标人向中天国富提供保障合同标的正常运行的技术资料和保障日常使用的操作手册；后续的维护服务期内，要求中标人定期为中天国富进行相关技术资料的更新维护。</w:t>
      </w:r>
    </w:p>
    <w:p w14:paraId="025FF393">
      <w:pPr>
        <w:spacing w:line="360" w:lineRule="auto"/>
        <w:ind w:firstLine="480" w:firstLineChars="200"/>
        <w:rPr>
          <w:rFonts w:hint="eastAsia" w:ascii="宋体" w:hAnsi="宋体"/>
          <w:bCs/>
          <w:szCs w:val="24"/>
        </w:rPr>
      </w:pPr>
      <w:r>
        <w:rPr>
          <w:rFonts w:hint="eastAsia" w:ascii="宋体" w:hAnsi="宋体"/>
          <w:bCs/>
          <w:szCs w:val="24"/>
        </w:rPr>
        <w:t>中标人提供的资料包括但不限于网络部署方案、网络安装部署手册、配置备份方案、应急方案和运维使用手册。当提供的资料或方案文档不满足中天国富要求时，中标人要求根据中天国富要求完善；当中天国富需中标人现场配合时，中标人应安排工程师现场配合中天国富完成技术资料和使用手册需求。</w:t>
      </w:r>
    </w:p>
    <w:p w14:paraId="675D1767">
      <w:pPr>
        <w:pStyle w:val="3"/>
        <w:numPr>
          <w:ilvl w:val="1"/>
          <w:numId w:val="1"/>
        </w:numPr>
        <w:spacing w:line="360" w:lineRule="auto"/>
        <w:rPr>
          <w:rFonts w:hint="eastAsia"/>
        </w:rPr>
      </w:pPr>
      <w:r>
        <w:rPr>
          <w:rFonts w:hint="eastAsia"/>
          <w:sz w:val="24"/>
          <w:szCs w:val="24"/>
        </w:rPr>
        <w:t>安全要求</w:t>
      </w:r>
    </w:p>
    <w:p w14:paraId="651F9E5D">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（1）网络设备交付时，要求提供最新的稳定版产品，并提供原厂发布的最新、最稳定版本白皮书或证明材料。</w:t>
      </w:r>
    </w:p>
    <w:p w14:paraId="6930CFA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网络设备交付时，中标人需确保提供的产品不存在恶意代码或未授权功能，无违反我国法律法规的模块，并符合证券行业有关技术规范和技术指引。如中标人违反前述承诺，应赔偿因此给中天国富造成的全部损失。</w:t>
      </w:r>
    </w:p>
    <w:p w14:paraId="548EF4C2">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（3）网络设备上线前，要求免费协助中天国富对设备固件及软件进行信息安全检查（包括但不限于渗透性测试、漏洞扫描）；中天国富进行信息安全常规检查时，如有需求，中标人须免费到场协助。</w:t>
      </w:r>
    </w:p>
    <w:p w14:paraId="2EF7688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（4）网络设备维保期内，如中天国富发现设备固件及软件存在安全漏洞或隐患，中标人须在10个工作日内免费提供信息安全修复方案，并免费协助中天国富修复信息安全漏洞或隐患。</w:t>
      </w:r>
    </w:p>
    <w:p w14:paraId="5FFAC929"/>
    <w:p w14:paraId="089D4EBF">
      <w:pPr>
        <w:pStyle w:val="3"/>
        <w:numPr>
          <w:ilvl w:val="1"/>
          <w:numId w:val="1"/>
        </w:numPr>
        <w:spacing w:line="360" w:lineRule="auto"/>
        <w:rPr>
          <w:rFonts w:hint="eastAsia" w:asciiTheme="minorEastAsia" w:hAnsiTheme="minorEastAsia" w:eastAsiaTheme="minorEastAsia"/>
          <w:sz w:val="24"/>
          <w:szCs w:val="24"/>
        </w:rPr>
      </w:pPr>
      <w:bookmarkStart w:id="4" w:name="_Toc9389"/>
      <w:bookmarkStart w:id="5" w:name="_Toc30903"/>
      <w:bookmarkStart w:id="6" w:name="_Toc27834"/>
      <w:r>
        <w:rPr>
          <w:rFonts w:hint="eastAsia" w:asciiTheme="minorEastAsia" w:hAnsiTheme="minorEastAsia" w:eastAsiaTheme="minorEastAsia"/>
          <w:sz w:val="24"/>
          <w:szCs w:val="24"/>
        </w:rPr>
        <w:t>保密要求</w:t>
      </w:r>
      <w:bookmarkEnd w:id="4"/>
      <w:bookmarkEnd w:id="5"/>
      <w:bookmarkEnd w:id="6"/>
    </w:p>
    <w:p w14:paraId="2AF668B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（1）投标人对因履行本项目而获悉的所有信息和资料（包括但不限于本项目所涉的方案、价格、管理等信息以及资料）均负有保密义务。</w:t>
      </w:r>
    </w:p>
    <w:p w14:paraId="628747C4">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（2）未经中天国富书面允许，投标人不得将提供给中天国富的商业信息和包含中天国富数据的资料透露给第三方。</w:t>
      </w:r>
    </w:p>
    <w:p w14:paraId="52BA7EB6">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（3）投标人要求履行前述保密义务，直至投标人和中天国富书面同意解除此项义务，或事实上不会因违反前述保密义务而给中天国富造成任何形式的损害时为止。</w:t>
      </w:r>
    </w:p>
    <w:p w14:paraId="766AED1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（4）投标人违反前述保密义务，应赔偿因此给中天国富造成的全部损失。</w:t>
      </w:r>
    </w:p>
    <w:p w14:paraId="2B184F3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知识产权要求</w:t>
      </w:r>
    </w:p>
    <w:p w14:paraId="7A0B7C8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须保证本项目所使用之信息、技术、资料、文档、软件、设备设施、工具及交付的服务报告均未侵犯任何第三方的知识产权或违反其与第三方签订的合同、协议等。如涉及第三方知识产权，投标人应依法获得必要之许可，并提供许可证明。</w:t>
      </w:r>
      <w:bookmarkStart w:id="7" w:name="OLE_LINK19"/>
      <w:bookmarkStart w:id="8" w:name="OLE_LINK18"/>
      <w:r>
        <w:rPr>
          <w:rFonts w:hint="eastAsia" w:asciiTheme="minorEastAsia" w:hAnsiTheme="minorEastAsia" w:eastAsiaTheme="minorEastAsia"/>
          <w:szCs w:val="24"/>
        </w:rPr>
        <w:t>如投标人未提前告知且未提供许可证明，将由投标人全部承担第三方知识产权的所有法律诉讼费用及相关的赔偿费用</w:t>
      </w:r>
      <w:bookmarkEnd w:id="7"/>
      <w:bookmarkEnd w:id="8"/>
      <w:r>
        <w:rPr>
          <w:rFonts w:hint="eastAsia" w:asciiTheme="minorEastAsia" w:hAnsiTheme="minorEastAsia" w:eastAsiaTheme="minorEastAsia"/>
          <w:szCs w:val="24"/>
        </w:rPr>
        <w:t>。</w:t>
      </w:r>
    </w:p>
    <w:p w14:paraId="10FCF698">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项目验收与实施</w:t>
      </w:r>
    </w:p>
    <w:p w14:paraId="78093701">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3.11.1</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项目实施</w:t>
      </w:r>
      <w:r>
        <w:rPr>
          <w:rFonts w:asciiTheme="minorEastAsia" w:hAnsiTheme="minorEastAsia" w:eastAsiaTheme="minorEastAsia"/>
          <w:sz w:val="24"/>
          <w:szCs w:val="24"/>
        </w:rPr>
        <w:t>要求</w:t>
      </w:r>
    </w:p>
    <w:p w14:paraId="57324F52">
      <w:pPr>
        <w:autoSpaceDE w:val="0"/>
        <w:autoSpaceDN w:val="0"/>
        <w:adjustRightInd w:val="0"/>
        <w:spacing w:line="360" w:lineRule="auto"/>
        <w:ind w:firstLine="600" w:firstLineChars="250"/>
        <w:jc w:val="left"/>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要求原厂提供设备上线割接方案并且全程保障项目实施。</w:t>
      </w:r>
    </w:p>
    <w:p w14:paraId="068E62D1">
      <w:pPr>
        <w:autoSpaceDE w:val="0"/>
        <w:autoSpaceDN w:val="0"/>
        <w:adjustRightInd w:val="0"/>
        <w:spacing w:line="360" w:lineRule="auto"/>
        <w:ind w:firstLine="240" w:firstLineChars="100"/>
        <w:jc w:val="left"/>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项目投标人项目建设应满足以下几点要求：</w:t>
      </w:r>
    </w:p>
    <w:p w14:paraId="72C2D8D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（1）投标人在需求设计阶段需要与招标人派出的项目经理，一同参与网络架构的需求确认。项目设计方案中应包含项目工作计划，以及需要招标人提供的各项准备工作内容。</w:t>
      </w:r>
    </w:p>
    <w:p w14:paraId="39BBB662">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（2）投标人需提供详尽的项目实施时间表和进度计划以及各阶段技术人员的安排。</w:t>
      </w:r>
    </w:p>
    <w:p w14:paraId="7916D1F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在项目建设过程中对产品的交付进度向招标人派出的项目经理进行定期汇报，确保项目进度公开透明，按计划进行，项目组中如果有人员变动应该及时通知招标人。投标人项目经理每周提供项目进度表，项目变更须经招标人项目经理签字同意。</w:t>
      </w:r>
    </w:p>
    <w:p w14:paraId="4906F514">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（4）在实施过程中对产品的项目质量除由投标人按照自身的控制体系进行控制管理外，还需由招标人派出的质量监督员定期进行监督控制。</w:t>
      </w:r>
    </w:p>
    <w:p w14:paraId="7CB23208">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3.12.2</w:t>
      </w:r>
      <w:r>
        <w:rPr>
          <w:rFonts w:asciiTheme="minorEastAsia" w:hAnsiTheme="minorEastAsia" w:eastAsiaTheme="minorEastAsia"/>
          <w:sz w:val="24"/>
          <w:szCs w:val="24"/>
        </w:rPr>
        <w:t>.</w:t>
      </w:r>
      <w:r>
        <w:rPr>
          <w:rFonts w:hint="eastAsia" w:asciiTheme="minorEastAsia" w:hAnsiTheme="minorEastAsia" w:eastAsiaTheme="minorEastAsia"/>
          <w:sz w:val="24"/>
          <w:szCs w:val="24"/>
        </w:rPr>
        <w:t>项目施工范围</w:t>
      </w:r>
    </w:p>
    <w:p w14:paraId="5C3B2983">
      <w:pPr>
        <w:spacing w:line="360" w:lineRule="auto"/>
        <w:ind w:firstLine="480" w:firstLineChars="200"/>
        <w:rPr>
          <w:rFonts w:hint="eastAsia" w:ascii="宋体" w:hAnsi="宋体"/>
          <w:bCs/>
          <w:szCs w:val="24"/>
        </w:rPr>
      </w:pPr>
      <w:r>
        <w:rPr>
          <w:rFonts w:hint="eastAsia" w:ascii="宋体" w:hAnsi="宋体"/>
          <w:bCs/>
          <w:szCs w:val="24"/>
        </w:rPr>
        <w:t>本次项目时间紧迫，</w:t>
      </w:r>
      <w:r>
        <w:rPr>
          <w:rFonts w:hint="eastAsia" w:ascii="宋体" w:hAnsi="宋体"/>
          <w:szCs w:val="24"/>
        </w:rPr>
        <w:t>中标人</w:t>
      </w:r>
      <w:r>
        <w:rPr>
          <w:rFonts w:hint="eastAsia" w:ascii="宋体" w:hAnsi="宋体"/>
          <w:bCs/>
          <w:szCs w:val="24"/>
        </w:rPr>
        <w:t>按照</w:t>
      </w:r>
      <w:r>
        <w:rPr>
          <w:rFonts w:hint="eastAsia" w:cs="宋体" w:asciiTheme="minorEastAsia" w:hAnsiTheme="minorEastAsia" w:eastAsiaTheme="minorEastAsia"/>
          <w:kern w:val="0"/>
          <w:szCs w:val="24"/>
        </w:rPr>
        <w:t>招标人</w:t>
      </w:r>
      <w:r>
        <w:rPr>
          <w:rFonts w:hint="eastAsia" w:ascii="宋体" w:hAnsi="宋体"/>
          <w:bCs/>
          <w:szCs w:val="24"/>
        </w:rPr>
        <w:t>要求完成以下工作：</w:t>
      </w:r>
    </w:p>
    <w:p w14:paraId="126B8EF8">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1）网络设备的供货、上架、安装、布线、标签、调试、测试；</w:t>
      </w:r>
    </w:p>
    <w:p w14:paraId="117F7DFD">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2）网络设备软件版本升级至原厂推荐的最新最稳定版本；</w:t>
      </w:r>
    </w:p>
    <w:p w14:paraId="71F1EF5B">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3）整理网络拓扑图、IP地址规划表、网络互联信息等文档；</w:t>
      </w:r>
    </w:p>
    <w:p w14:paraId="6D3DB0E2">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4）完成网络切换测试；</w:t>
      </w:r>
    </w:p>
    <w:p w14:paraId="18180A6B">
      <w:pPr>
        <w:pStyle w:val="48"/>
        <w:spacing w:line="360" w:lineRule="auto"/>
        <w:ind w:left="420" w:firstLine="0" w:firstLineChars="0"/>
        <w:rPr>
          <w:rFonts w:hint="eastAsia" w:ascii="宋体" w:hAnsi="宋体"/>
          <w:szCs w:val="24"/>
        </w:rPr>
      </w:pPr>
      <w:r>
        <w:rPr>
          <w:rFonts w:hint="eastAsia" w:asciiTheme="minorEastAsia" w:hAnsiTheme="minorEastAsia" w:eastAsiaTheme="minorEastAsia"/>
          <w:szCs w:val="24"/>
        </w:rPr>
        <w:t>（</w:t>
      </w:r>
      <w:r>
        <w:rPr>
          <w:rFonts w:hint="eastAsia" w:ascii="宋体" w:hAnsi="宋体"/>
          <w:szCs w:val="24"/>
        </w:rPr>
        <w:t>5）配合系统上线。</w:t>
      </w:r>
    </w:p>
    <w:p w14:paraId="4D4DACE2">
      <w:pPr>
        <w:pStyle w:val="4"/>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3.12.</w:t>
      </w:r>
      <w:r>
        <w:rPr>
          <w:rFonts w:asciiTheme="minorEastAsia" w:hAnsiTheme="minorEastAsia" w:eastAsiaTheme="minorEastAsia"/>
          <w:sz w:val="24"/>
          <w:szCs w:val="24"/>
        </w:rPr>
        <w:t>3.</w:t>
      </w:r>
      <w:r>
        <w:rPr>
          <w:rFonts w:hint="eastAsia" w:asciiTheme="minorEastAsia" w:hAnsiTheme="minorEastAsia" w:eastAsiaTheme="minorEastAsia"/>
          <w:sz w:val="24"/>
          <w:szCs w:val="24"/>
        </w:rPr>
        <w:t>项目验收</w:t>
      </w:r>
      <w:r>
        <w:rPr>
          <w:rFonts w:asciiTheme="minorEastAsia" w:hAnsiTheme="minorEastAsia" w:eastAsiaTheme="minorEastAsia"/>
          <w:sz w:val="24"/>
          <w:szCs w:val="24"/>
        </w:rPr>
        <w:t>要求</w:t>
      </w:r>
    </w:p>
    <w:p w14:paraId="149DBEAA">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（1）合同项下的所有产品及服务必须通过验收，包括到货验收、上线安装验收和竣工验收。</w:t>
      </w:r>
    </w:p>
    <w:p w14:paraId="135E5D9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（2）投标人在产品到货后，在进行安装前，要按合同规定向招标人提供产品到货清单，根据到货清单，招标人将进行产品到货验收，以确认产品到货型号与数量是否与合同相符。</w:t>
      </w:r>
    </w:p>
    <w:p w14:paraId="1B92B20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（3）投标人必须在产品安装后进行上线安装验收。</w:t>
      </w:r>
    </w:p>
    <w:p w14:paraId="7CAB642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（4）上线安装验收通过后，产品进入试运行期，试运行期</w:t>
      </w:r>
      <w:r>
        <w:rPr>
          <w:rFonts w:asciiTheme="minorEastAsia" w:hAnsiTheme="minorEastAsia" w:eastAsiaTheme="minorEastAsia"/>
          <w:szCs w:val="24"/>
        </w:rPr>
        <w:t>1</w:t>
      </w:r>
      <w:r>
        <w:rPr>
          <w:rFonts w:hint="eastAsia" w:asciiTheme="minorEastAsia" w:hAnsiTheme="minorEastAsia" w:eastAsiaTheme="minorEastAsia"/>
          <w:szCs w:val="24"/>
        </w:rPr>
        <w:t>个月。试运行期结束后，投标人应按合同规定的测试项目进行竣工验收，验收测试的依据是招标人与投标人共同确认的需求书。经验收合格后，投标人应向招标人提交竣工验收报告。</w:t>
      </w:r>
    </w:p>
    <w:p w14:paraId="7E8146D3">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提供具体的</w:t>
      </w:r>
      <w:r>
        <w:rPr>
          <w:rFonts w:hint="eastAsia" w:asciiTheme="minorEastAsia" w:hAnsiTheme="minorEastAsia" w:eastAsiaTheme="minorEastAsia"/>
          <w:szCs w:val="24"/>
        </w:rPr>
        <w:t>安装和运维</w:t>
      </w:r>
      <w:r>
        <w:rPr>
          <w:rFonts w:asciiTheme="minorEastAsia" w:hAnsiTheme="minorEastAsia" w:eastAsiaTheme="minorEastAsia"/>
          <w:szCs w:val="24"/>
        </w:rPr>
        <w:t>文档。</w:t>
      </w:r>
    </w:p>
    <w:p w14:paraId="35E92371">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完成时间</w:t>
      </w:r>
    </w:p>
    <w:p w14:paraId="1928F8C2">
      <w:pPr>
        <w:autoSpaceDE w:val="0"/>
        <w:autoSpaceDN w:val="0"/>
        <w:adjustRightInd w:val="0"/>
        <w:spacing w:line="360" w:lineRule="auto"/>
        <w:ind w:firstLine="480" w:firstLineChars="200"/>
        <w:jc w:val="left"/>
        <w:rPr>
          <w:rFonts w:hint="eastAsia" w:cs="TimesNewRomanPSMT" w:asciiTheme="minorEastAsia" w:hAnsiTheme="minorEastAsia" w:eastAsiaTheme="minorEastAsia"/>
          <w:kern w:val="0"/>
          <w:szCs w:val="24"/>
        </w:rPr>
      </w:pPr>
      <w:r>
        <w:rPr>
          <w:rFonts w:hint="eastAsia" w:cs="TimesNewRomanPSMT" w:asciiTheme="minorEastAsia" w:hAnsiTheme="minorEastAsia" w:eastAsiaTheme="minorEastAsia"/>
          <w:kern w:val="0"/>
          <w:szCs w:val="24"/>
        </w:rPr>
        <w:t>投标人须在投标文件中提供详细实施计划。</w:t>
      </w:r>
    </w:p>
    <w:p w14:paraId="220EAACC">
      <w:pPr>
        <w:autoSpaceDE w:val="0"/>
        <w:autoSpaceDN w:val="0"/>
        <w:adjustRightInd w:val="0"/>
        <w:spacing w:line="360" w:lineRule="auto"/>
        <w:ind w:firstLine="480" w:firstLineChars="200"/>
        <w:jc w:val="left"/>
      </w:pPr>
      <w:r>
        <w:rPr>
          <w:rFonts w:hint="eastAsia" w:cs="TimesNewRomanPSMT" w:asciiTheme="minorEastAsia" w:hAnsiTheme="minorEastAsia" w:eastAsiaTheme="minorEastAsia"/>
          <w:kern w:val="0"/>
          <w:szCs w:val="24"/>
        </w:rPr>
        <w:t>投标人在收到招标单位正式发出的《中标通知书》起1个月内完成设备供货，在施工环境具备后1周内完成网络正式投产工作。</w:t>
      </w:r>
    </w:p>
    <w:p w14:paraId="63873C4E">
      <w:pPr>
        <w:pStyle w:val="2"/>
        <w:numPr>
          <w:ilvl w:val="0"/>
          <w:numId w:val="1"/>
        </w:numPr>
        <w:spacing w:line="360" w:lineRule="auto"/>
        <w:rPr>
          <w:rFonts w:hint="eastAsia" w:ascii="宋体" w:hAnsi="宋体"/>
          <w:sz w:val="24"/>
          <w:szCs w:val="24"/>
        </w:rPr>
      </w:pPr>
      <w:bookmarkStart w:id="9" w:name="_Toc157590063"/>
      <w:r>
        <w:rPr>
          <w:rFonts w:hint="eastAsia" w:ascii="宋体" w:hAnsi="宋体"/>
          <w:sz w:val="24"/>
          <w:szCs w:val="24"/>
        </w:rPr>
        <w:t>投标条件</w:t>
      </w:r>
      <w:bookmarkEnd w:id="9"/>
    </w:p>
    <w:p w14:paraId="166A38BB">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对投标人的要求</w:t>
      </w:r>
    </w:p>
    <w:p w14:paraId="664CDCCB">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1）必须保证所供产品为原装正牌产品。如所提供假冒伪劣产品引起法律纠纷及造成相关损失，由中标人承担全部责任和经济损失。中标人不得转包，否则引起法律纠纷及造成相关损失，由中标人承担全部责任和经济损失。</w:t>
      </w:r>
    </w:p>
    <w:p w14:paraId="6519E44D">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2）</w:t>
      </w:r>
      <w:r>
        <w:rPr>
          <w:rFonts w:hint="eastAsia" w:ascii="宋体" w:hAnsi="宋体"/>
          <w:bCs/>
          <w:szCs w:val="24"/>
        </w:rPr>
        <w:t>投标人</w:t>
      </w:r>
      <w:r>
        <w:rPr>
          <w:rFonts w:hint="eastAsia" w:cs="宋体" w:asciiTheme="minorEastAsia" w:hAnsiTheme="minorEastAsia" w:eastAsiaTheme="minorEastAsia"/>
          <w:kern w:val="0"/>
          <w:szCs w:val="24"/>
        </w:rPr>
        <w:t>应在中国注册并遵守有关的中国法律和规章条例。</w:t>
      </w:r>
    </w:p>
    <w:p w14:paraId="59A3A351">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3）</w:t>
      </w:r>
      <w:r>
        <w:rPr>
          <w:rFonts w:hint="eastAsia" w:ascii="宋体" w:hAnsi="宋体"/>
          <w:bCs/>
          <w:szCs w:val="24"/>
        </w:rPr>
        <w:t>投标人</w:t>
      </w:r>
      <w:r>
        <w:rPr>
          <w:rFonts w:hint="eastAsia" w:cs="宋体" w:asciiTheme="minorEastAsia" w:hAnsiTheme="minorEastAsia" w:eastAsiaTheme="minorEastAsia"/>
          <w:kern w:val="0"/>
          <w:szCs w:val="24"/>
        </w:rPr>
        <w:t>应对项目建设过程中所可能产生的各种文档作一一描述，包括文档名称、内容、提交用户的时间和方式等。</w:t>
      </w:r>
    </w:p>
    <w:p w14:paraId="23D3042F">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hint="eastAsia" w:cs="宋体" w:asciiTheme="minorEastAsia" w:hAnsiTheme="minorEastAsia" w:eastAsiaTheme="minorEastAsia"/>
          <w:kern w:val="0"/>
          <w:szCs w:val="24"/>
        </w:rPr>
        <w:t>4）</w:t>
      </w:r>
      <w:r>
        <w:rPr>
          <w:rFonts w:hint="eastAsia" w:ascii="宋体" w:hAnsi="宋体"/>
          <w:bCs/>
          <w:szCs w:val="24"/>
        </w:rPr>
        <w:t>投标人</w:t>
      </w:r>
      <w:r>
        <w:rPr>
          <w:rFonts w:hint="eastAsia" w:cs="宋体" w:asciiTheme="minorEastAsia" w:hAnsiTheme="minorEastAsia" w:eastAsiaTheme="minorEastAsia"/>
          <w:kern w:val="0"/>
          <w:szCs w:val="24"/>
        </w:rPr>
        <w:t>必须有足够能力保证按时按质完成投标项目、售后服务和技术支持良好的信誉，在中标后应认真组织好技术及管理队伍配合邀标人完成项目实施，并做好工作计划提出长期保修、维护、服务以及今后技术支持的措施、计划和承诺。</w:t>
      </w:r>
    </w:p>
    <w:p w14:paraId="72C4FCEC">
      <w:pPr>
        <w:spacing w:line="360" w:lineRule="auto"/>
        <w:ind w:firstLine="480" w:firstLineChars="200"/>
        <w:jc w:val="left"/>
        <w:rPr>
          <w:rFonts w:hint="eastAsia" w:cs="宋体" w:asciiTheme="minorEastAsia" w:hAnsiTheme="minorEastAsia" w:eastAsiaTheme="minorEastAsia"/>
          <w:kern w:val="0"/>
          <w:szCs w:val="24"/>
        </w:rPr>
      </w:pPr>
      <w:r>
        <w:rPr>
          <w:rFonts w:hint="eastAsia" w:asciiTheme="minorEastAsia" w:hAnsiTheme="minorEastAsia" w:eastAsiaTheme="minorEastAsia"/>
          <w:szCs w:val="24"/>
        </w:rPr>
        <w:t>（</w:t>
      </w:r>
      <w:r>
        <w:rPr>
          <w:rFonts w:cs="宋体" w:asciiTheme="minorEastAsia" w:hAnsiTheme="minorEastAsia" w:eastAsiaTheme="minorEastAsia"/>
          <w:kern w:val="0"/>
          <w:szCs w:val="24"/>
        </w:rPr>
        <w:t>5</w:t>
      </w:r>
      <w:r>
        <w:rPr>
          <w:rFonts w:hint="eastAsia" w:cs="宋体" w:asciiTheme="minorEastAsia" w:hAnsiTheme="minorEastAsia" w:eastAsiaTheme="minorEastAsia"/>
          <w:kern w:val="0"/>
          <w:szCs w:val="24"/>
        </w:rPr>
        <w:t>）</w:t>
      </w:r>
      <w:r>
        <w:rPr>
          <w:rFonts w:hint="eastAsia" w:ascii="宋体" w:hAnsi="宋体"/>
          <w:bCs/>
          <w:szCs w:val="24"/>
        </w:rPr>
        <w:t>投标人</w:t>
      </w:r>
      <w:r>
        <w:rPr>
          <w:rFonts w:hint="eastAsia" w:cs="宋体" w:asciiTheme="minorEastAsia" w:hAnsiTheme="minorEastAsia" w:eastAsiaTheme="minorEastAsia"/>
          <w:kern w:val="0"/>
          <w:szCs w:val="24"/>
        </w:rPr>
        <w:t>必须保证所供材料真实性，否则废标。</w:t>
      </w:r>
    </w:p>
    <w:p w14:paraId="2BA384C3">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投标人资格要求</w:t>
      </w:r>
    </w:p>
    <w:p w14:paraId="5B415378">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）投标人应具备承担本项目的资质条件、能力和信誉。</w:t>
      </w:r>
    </w:p>
    <w:p w14:paraId="5561B636">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w:t>
      </w:r>
      <w:r>
        <w:rPr>
          <w:rFonts w:hint="eastAsia" w:asciiTheme="minorEastAsia" w:hAnsiTheme="minorEastAsia" w:eastAsiaTheme="minorEastAsia"/>
          <w:szCs w:val="24"/>
        </w:rPr>
        <w:t>）具体资格要求：</w:t>
      </w:r>
    </w:p>
    <w:p w14:paraId="1B7B2CE0">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公司规模：投标人注册资本金不少于3000万元，人员规模不低于200人，成立时间不少于5年。</w:t>
      </w:r>
    </w:p>
    <w:p w14:paraId="343CEF8F">
      <w:pPr>
        <w:spacing w:line="360" w:lineRule="auto"/>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rPr>
        <w:t>资质：具有涉及产品代理资质</w:t>
      </w:r>
      <w:r>
        <w:rPr>
          <w:rFonts w:asciiTheme="minorEastAsia" w:hAnsiTheme="minorEastAsia" w:eastAsiaTheme="minorEastAsia"/>
          <w:szCs w:val="24"/>
        </w:rPr>
        <w:t>，能独立行使民事权利并承担民事责任的公司。</w:t>
      </w:r>
    </w:p>
    <w:p w14:paraId="1A47FFAC">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投标保证金</w:t>
      </w:r>
    </w:p>
    <w:p w14:paraId="0D4B9F22">
      <w:pPr>
        <w:spacing w:line="360" w:lineRule="auto"/>
        <w:rPr>
          <w:rFonts w:hint="eastAsia" w:asciiTheme="minorEastAsia" w:hAnsiTheme="minorEastAsia" w:eastAsiaTheme="minorEastAsia"/>
          <w:szCs w:val="24"/>
        </w:rPr>
      </w:pPr>
      <w:r>
        <w:rPr>
          <w:rFonts w:hint="eastAsia" w:asciiTheme="minorEastAsia" w:hAnsiTheme="minorEastAsia" w:eastAsiaTheme="minorEastAsia"/>
          <w:szCs w:val="24"/>
        </w:rPr>
        <w:t xml:space="preserve">    本次招标不需投标人缴纳投标保证金。</w:t>
      </w:r>
    </w:p>
    <w:p w14:paraId="7E5BDC2C">
      <w:pPr>
        <w:pStyle w:val="2"/>
        <w:numPr>
          <w:ilvl w:val="0"/>
          <w:numId w:val="1"/>
        </w:numPr>
        <w:spacing w:line="360" w:lineRule="auto"/>
        <w:rPr>
          <w:rFonts w:hint="eastAsia" w:ascii="宋体" w:hAnsi="宋体"/>
          <w:sz w:val="24"/>
          <w:szCs w:val="24"/>
        </w:rPr>
      </w:pPr>
      <w:bookmarkStart w:id="10" w:name="_Toc157590064"/>
      <w:r>
        <w:rPr>
          <w:rFonts w:hint="eastAsia" w:ascii="宋体" w:hAnsi="宋体"/>
          <w:sz w:val="24"/>
          <w:szCs w:val="24"/>
        </w:rPr>
        <w:t>招标方式</w:t>
      </w:r>
      <w:bookmarkEnd w:id="10"/>
    </w:p>
    <w:p w14:paraId="455DA26F">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（1）招标方式为</w:t>
      </w:r>
      <w:r>
        <w:rPr>
          <w:rFonts w:hint="eastAsia" w:asciiTheme="minorEastAsia" w:hAnsiTheme="minorEastAsia" w:eastAsiaTheme="minorEastAsia"/>
          <w:szCs w:val="24"/>
          <w:lang w:val="en-US" w:eastAsia="zh-CN"/>
        </w:rPr>
        <w:t>公开</w:t>
      </w:r>
      <w:r>
        <w:rPr>
          <w:rFonts w:hint="eastAsia" w:asciiTheme="minorEastAsia" w:hAnsiTheme="minorEastAsia" w:eastAsiaTheme="minorEastAsia"/>
          <w:szCs w:val="24"/>
        </w:rPr>
        <w:t>招标。递交投标文件的截止时间</w:t>
      </w:r>
      <w:r>
        <w:rPr>
          <w:rFonts w:hint="eastAsia" w:asciiTheme="minorEastAsia" w:hAnsiTheme="minorEastAsia" w:eastAsiaTheme="minorEastAsia"/>
          <w:szCs w:val="24"/>
          <w:highlight w:val="none"/>
          <w:rPrChange w:id="0" w:author="吴家玮" w:date="2025-04-10T14:48:47Z">
            <w:rPr>
              <w:rFonts w:hint="eastAsia" w:asciiTheme="minorEastAsia" w:hAnsiTheme="minorEastAsia" w:eastAsiaTheme="minorEastAsia"/>
              <w:szCs w:val="24"/>
            </w:rPr>
          </w:rPrChange>
        </w:rPr>
        <w:t>为</w:t>
      </w:r>
      <w:r>
        <w:rPr>
          <w:rFonts w:asciiTheme="minorEastAsia" w:hAnsiTheme="minorEastAsia" w:eastAsiaTheme="minorEastAsia"/>
          <w:szCs w:val="24"/>
          <w:highlight w:val="none"/>
          <w:u w:val="single"/>
          <w:rPrChange w:id="1" w:author="吴家玮" w:date="2025-04-10T14:48:47Z">
            <w:rPr>
              <w:rFonts w:asciiTheme="minorEastAsia" w:hAnsiTheme="minorEastAsia" w:eastAsiaTheme="minorEastAsia"/>
              <w:szCs w:val="24"/>
              <w:highlight w:val="yellow"/>
              <w:u w:val="single"/>
            </w:rPr>
          </w:rPrChange>
        </w:rPr>
        <w:t>202</w:t>
      </w:r>
      <w:r>
        <w:rPr>
          <w:rFonts w:hint="eastAsia" w:asciiTheme="minorEastAsia" w:hAnsiTheme="minorEastAsia" w:eastAsiaTheme="minorEastAsia"/>
          <w:szCs w:val="24"/>
          <w:highlight w:val="none"/>
          <w:u w:val="single"/>
          <w:rPrChange w:id="2" w:author="吴家玮" w:date="2025-04-10T14:48:47Z">
            <w:rPr>
              <w:rFonts w:hint="eastAsia" w:asciiTheme="minorEastAsia" w:hAnsiTheme="minorEastAsia" w:eastAsiaTheme="minorEastAsia"/>
              <w:szCs w:val="24"/>
              <w:highlight w:val="yellow"/>
              <w:u w:val="single"/>
            </w:rPr>
          </w:rPrChange>
        </w:rPr>
        <w:t>5年x月x日</w:t>
      </w:r>
      <w:r>
        <w:rPr>
          <w:rFonts w:asciiTheme="minorEastAsia" w:hAnsiTheme="minorEastAsia" w:eastAsiaTheme="minorEastAsia"/>
          <w:szCs w:val="24"/>
          <w:highlight w:val="none"/>
          <w:u w:val="single"/>
          <w:rPrChange w:id="3" w:author="吴家玮" w:date="2025-04-10T14:48:47Z">
            <w:rPr>
              <w:rFonts w:asciiTheme="minorEastAsia" w:hAnsiTheme="minorEastAsia" w:eastAsiaTheme="minorEastAsia"/>
              <w:szCs w:val="24"/>
              <w:highlight w:val="yellow"/>
              <w:u w:val="single"/>
            </w:rPr>
          </w:rPrChange>
        </w:rPr>
        <w:t xml:space="preserve"> </w:t>
      </w:r>
      <w:r>
        <w:rPr>
          <w:rFonts w:hint="eastAsia" w:asciiTheme="minorEastAsia" w:hAnsiTheme="minorEastAsia" w:eastAsiaTheme="minorEastAsia"/>
          <w:szCs w:val="24"/>
          <w:highlight w:val="none"/>
          <w:u w:val="single"/>
          <w:lang w:val="en-US" w:eastAsia="zh-CN"/>
          <w:rPrChange w:id="4" w:author="吴家玮" w:date="2025-04-10T14:48:47Z">
            <w:rPr>
              <w:rFonts w:hint="eastAsia" w:asciiTheme="minorEastAsia" w:hAnsiTheme="minorEastAsia" w:eastAsiaTheme="minorEastAsia"/>
              <w:szCs w:val="24"/>
              <w:highlight w:val="yellow"/>
              <w:u w:val="single"/>
              <w:lang w:val="en-US" w:eastAsia="zh-CN"/>
            </w:rPr>
          </w:rPrChange>
        </w:rPr>
        <w:t>x</w:t>
      </w:r>
      <w:r>
        <w:rPr>
          <w:rFonts w:hint="eastAsia" w:asciiTheme="minorEastAsia" w:hAnsiTheme="minorEastAsia" w:eastAsiaTheme="minorEastAsia"/>
          <w:szCs w:val="24"/>
          <w:highlight w:val="none"/>
          <w:u w:val="single"/>
          <w:rPrChange w:id="5" w:author="吴家玮" w:date="2025-04-10T14:48:47Z">
            <w:rPr>
              <w:rFonts w:hint="eastAsia" w:asciiTheme="minorEastAsia" w:hAnsiTheme="minorEastAsia" w:eastAsiaTheme="minorEastAsia"/>
              <w:szCs w:val="24"/>
              <w:highlight w:val="yellow"/>
              <w:u w:val="single"/>
            </w:rPr>
          </w:rPrChange>
        </w:rPr>
        <w:t>时</w:t>
      </w:r>
      <w:r>
        <w:rPr>
          <w:rFonts w:hint="eastAsia" w:asciiTheme="minorEastAsia" w:hAnsiTheme="minorEastAsia" w:eastAsiaTheme="minorEastAsia"/>
          <w:szCs w:val="24"/>
          <w:highlight w:val="none"/>
          <w:rPrChange w:id="6" w:author="吴家玮" w:date="2025-04-10T14:48:47Z">
            <w:rPr>
              <w:rFonts w:hint="eastAsia" w:asciiTheme="minorEastAsia" w:hAnsiTheme="minorEastAsia" w:eastAsiaTheme="minorEastAsia"/>
              <w:szCs w:val="24"/>
            </w:rPr>
          </w:rPrChange>
        </w:rPr>
        <w:t>，地点：</w:t>
      </w:r>
      <w:r>
        <w:rPr>
          <w:rFonts w:hint="eastAsia" w:asciiTheme="minorEastAsia" w:hAnsiTheme="minorEastAsia" w:eastAsiaTheme="minorEastAsia"/>
          <w:szCs w:val="24"/>
          <w:highlight w:val="none"/>
          <w:u w:val="single"/>
          <w:rPrChange w:id="7" w:author="吴家玮" w:date="2025-04-10T14:48:47Z">
            <w:rPr>
              <w:rFonts w:hint="eastAsia" w:asciiTheme="minorEastAsia" w:hAnsiTheme="minorEastAsia" w:eastAsiaTheme="minorEastAsia"/>
              <w:szCs w:val="24"/>
              <w:u w:val="single"/>
            </w:rPr>
          </w:rPrChange>
        </w:rPr>
        <w:t>深圳市南山区科苑南路</w:t>
      </w:r>
      <w:r>
        <w:rPr>
          <w:rFonts w:asciiTheme="minorEastAsia" w:hAnsiTheme="minorEastAsia" w:eastAsiaTheme="minorEastAsia"/>
          <w:szCs w:val="24"/>
          <w:highlight w:val="none"/>
          <w:u w:val="single"/>
          <w:rPrChange w:id="8" w:author="吴家玮" w:date="2025-04-10T14:48:47Z">
            <w:rPr>
              <w:rFonts w:asciiTheme="minorEastAsia" w:hAnsiTheme="minorEastAsia" w:eastAsiaTheme="minorEastAsia"/>
              <w:szCs w:val="24"/>
              <w:u w:val="single"/>
            </w:rPr>
          </w:rPrChange>
        </w:rPr>
        <w:t>3099</w:t>
      </w:r>
      <w:r>
        <w:rPr>
          <w:rFonts w:hint="eastAsia" w:asciiTheme="minorEastAsia" w:hAnsiTheme="minorEastAsia" w:eastAsiaTheme="minorEastAsia"/>
          <w:szCs w:val="24"/>
          <w:highlight w:val="none"/>
          <w:u w:val="single"/>
          <w:rPrChange w:id="9" w:author="吴家玮" w:date="2025-04-10T14:48:47Z">
            <w:rPr>
              <w:rFonts w:hint="eastAsia" w:asciiTheme="minorEastAsia" w:hAnsiTheme="minorEastAsia" w:eastAsiaTheme="minorEastAsia"/>
              <w:szCs w:val="24"/>
              <w:u w:val="single"/>
            </w:rPr>
          </w:rPrChange>
        </w:rPr>
        <w:t>号中国储能大厦</w:t>
      </w:r>
      <w:r>
        <w:rPr>
          <w:rFonts w:hint="eastAsia" w:asciiTheme="minorEastAsia" w:hAnsiTheme="minorEastAsia" w:eastAsiaTheme="minorEastAsia"/>
          <w:szCs w:val="24"/>
          <w:highlight w:val="none"/>
          <w:u w:val="single"/>
          <w:lang w:val="en-US" w:eastAsia="zh-CN"/>
          <w:rPrChange w:id="10" w:author="吴家玮" w:date="2025-04-10T14:48:47Z">
            <w:rPr>
              <w:rFonts w:hint="eastAsia" w:asciiTheme="minorEastAsia" w:hAnsiTheme="minorEastAsia" w:eastAsiaTheme="minorEastAsia"/>
              <w:szCs w:val="24"/>
              <w:u w:val="single"/>
              <w:lang w:val="en-US" w:eastAsia="zh-CN"/>
            </w:rPr>
          </w:rPrChange>
        </w:rPr>
        <w:t>49</w:t>
      </w:r>
      <w:r>
        <w:rPr>
          <w:rFonts w:hint="eastAsia" w:asciiTheme="minorEastAsia" w:hAnsiTheme="minorEastAsia" w:eastAsiaTheme="minorEastAsia"/>
          <w:szCs w:val="24"/>
          <w:u w:val="single"/>
        </w:rPr>
        <w:t>楼</w:t>
      </w:r>
      <w:r>
        <w:rPr>
          <w:rFonts w:hint="eastAsia" w:asciiTheme="minorEastAsia" w:hAnsiTheme="minorEastAsia" w:eastAsiaTheme="minorEastAsia"/>
          <w:szCs w:val="24"/>
        </w:rPr>
        <w:t>。</w:t>
      </w:r>
    </w:p>
    <w:p w14:paraId="4D855010">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（2）投标人根据本招标文件的要求编写投标文件，并进行报价，招标人以议标方式评标，评标期间招标人与投标人可进行开标竞价约谈。</w:t>
      </w:r>
    </w:p>
    <w:p w14:paraId="72D9773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投标文件正本一份和副本二份，电子文档一份，在每份投标文件上要明确注明“正本”或“副本”字样，一旦正本和副本有差异，以正本为准。投标文件正本和副本须打印并由经正式授权的投标人代表签字。除投标人对错处作必要修改外，投标文件中不许有加行、涂抹或改写，若有修改须由签署投标文件的人签字。电子文档投标文件拷贝至</w:t>
      </w:r>
      <w:r>
        <w:rPr>
          <w:rFonts w:asciiTheme="minorEastAsia" w:hAnsiTheme="minorEastAsia" w:eastAsiaTheme="minorEastAsia"/>
          <w:szCs w:val="24"/>
        </w:rPr>
        <w:t>U</w:t>
      </w:r>
      <w:r>
        <w:rPr>
          <w:rFonts w:hint="eastAsia" w:asciiTheme="minorEastAsia" w:hAnsiTheme="minorEastAsia" w:eastAsiaTheme="minorEastAsia"/>
          <w:szCs w:val="24"/>
        </w:rPr>
        <w:t>盘且密封在投标文件正本信封内。</w:t>
      </w:r>
    </w:p>
    <w:p w14:paraId="3337E2AB">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szCs w:val="24"/>
        </w:rPr>
        <w:t>（4）</w:t>
      </w:r>
      <w:r>
        <w:rPr>
          <w:rFonts w:hint="eastAsia" w:asciiTheme="minorEastAsia" w:hAnsiTheme="minorEastAsia" w:eastAsiaTheme="minorEastAsia"/>
          <w:bCs/>
          <w:szCs w:val="24"/>
        </w:rPr>
        <w:t>投标文件需按投标文件组成的要求分为商务投标文件、技术投标文件、投标报价文件和电子版投标文件（</w:t>
      </w:r>
      <w:r>
        <w:rPr>
          <w:rFonts w:asciiTheme="minorEastAsia" w:hAnsiTheme="minorEastAsia" w:eastAsiaTheme="minorEastAsia"/>
          <w:bCs/>
          <w:szCs w:val="24"/>
        </w:rPr>
        <w:t>U</w:t>
      </w:r>
      <w:r>
        <w:rPr>
          <w:rFonts w:hint="eastAsia" w:asciiTheme="minorEastAsia" w:hAnsiTheme="minorEastAsia" w:eastAsiaTheme="minorEastAsia"/>
          <w:bCs/>
          <w:szCs w:val="24"/>
        </w:rPr>
        <w:t>盘），其中商务投标文件、技术投标文件、投标报价文件要求分别胶装装订，电子版投标文件（</w:t>
      </w:r>
      <w:r>
        <w:rPr>
          <w:rFonts w:asciiTheme="minorEastAsia" w:hAnsiTheme="minorEastAsia" w:eastAsiaTheme="minorEastAsia"/>
          <w:bCs/>
          <w:szCs w:val="24"/>
        </w:rPr>
        <w:t>U</w:t>
      </w:r>
      <w:r>
        <w:rPr>
          <w:rFonts w:hint="eastAsia" w:asciiTheme="minorEastAsia" w:hAnsiTheme="minorEastAsia" w:eastAsiaTheme="minorEastAsia"/>
          <w:bCs/>
          <w:szCs w:val="24"/>
        </w:rPr>
        <w:t>盘）包含商务投标文件、技术投标文件和投标报价文件、讲标</w:t>
      </w:r>
      <w:r>
        <w:rPr>
          <w:rFonts w:asciiTheme="minorEastAsia" w:hAnsiTheme="minorEastAsia" w:eastAsiaTheme="minorEastAsia"/>
          <w:bCs/>
          <w:szCs w:val="24"/>
        </w:rPr>
        <w:t>PPT</w:t>
      </w:r>
      <w:r>
        <w:rPr>
          <w:rFonts w:hint="eastAsia" w:asciiTheme="minorEastAsia" w:hAnsiTheme="minorEastAsia" w:eastAsiaTheme="minorEastAsia"/>
          <w:bCs/>
          <w:szCs w:val="24"/>
        </w:rPr>
        <w:t>。商务投标文件和技术投标文件不得包含价格。投标文件要求将投标报价文件与商务投标文件、技术投标文件分开密封，否则取消资格。商务投标文件、技术投标文件中出现投标报价文件信息的投标人主动失去投标资格。</w:t>
      </w:r>
    </w:p>
    <w:p w14:paraId="0E778897">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（5）投标人应将投标文件正本和副本分别用信封密封，并标明招标编号、投标货物名称及正本或副本。</w:t>
      </w:r>
    </w:p>
    <w:p w14:paraId="2B402FF0">
      <w:pPr>
        <w:pStyle w:val="2"/>
        <w:numPr>
          <w:ilvl w:val="0"/>
          <w:numId w:val="1"/>
        </w:numPr>
        <w:spacing w:line="360" w:lineRule="auto"/>
        <w:rPr>
          <w:rFonts w:hint="eastAsia" w:ascii="宋体" w:hAnsi="宋体"/>
          <w:sz w:val="24"/>
          <w:szCs w:val="24"/>
        </w:rPr>
      </w:pPr>
      <w:bookmarkStart w:id="11" w:name="_Toc157590065"/>
      <w:r>
        <w:rPr>
          <w:rFonts w:hint="eastAsia" w:ascii="宋体" w:hAnsi="宋体"/>
          <w:sz w:val="24"/>
          <w:szCs w:val="24"/>
        </w:rPr>
        <w:t>投标报价</w:t>
      </w:r>
      <w:bookmarkEnd w:id="11"/>
    </w:p>
    <w:p w14:paraId="69C97394">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r>
        <w:rPr>
          <w:rFonts w:cs="宋体" w:asciiTheme="minorEastAsia" w:hAnsiTheme="minorEastAsia" w:eastAsiaTheme="minorEastAsia"/>
          <w:kern w:val="0"/>
          <w:szCs w:val="24"/>
        </w:rPr>
        <w:t>投标</w:t>
      </w:r>
      <w:r>
        <w:rPr>
          <w:rFonts w:hint="eastAsia" w:cs="宋体" w:asciiTheme="minorEastAsia" w:hAnsiTheme="minorEastAsia" w:eastAsiaTheme="minorEastAsia"/>
          <w:kern w:val="0"/>
          <w:szCs w:val="24"/>
        </w:rPr>
        <w:t>人</w:t>
      </w:r>
      <w:r>
        <w:rPr>
          <w:rFonts w:cs="宋体" w:asciiTheme="minorEastAsia" w:hAnsiTheme="minorEastAsia" w:eastAsiaTheme="minorEastAsia"/>
          <w:kern w:val="0"/>
          <w:szCs w:val="24"/>
        </w:rPr>
        <w:t>应提供详细</w:t>
      </w:r>
      <w:r>
        <w:rPr>
          <w:rFonts w:hint="eastAsia" w:cs="宋体" w:asciiTheme="minorEastAsia" w:hAnsiTheme="minorEastAsia" w:eastAsiaTheme="minorEastAsia"/>
          <w:kern w:val="0"/>
          <w:szCs w:val="24"/>
        </w:rPr>
        <w:t>的产品</w:t>
      </w:r>
      <w:r>
        <w:rPr>
          <w:rFonts w:cs="宋体" w:asciiTheme="minorEastAsia" w:hAnsiTheme="minorEastAsia" w:eastAsiaTheme="minorEastAsia"/>
          <w:kern w:val="0"/>
          <w:szCs w:val="24"/>
        </w:rPr>
        <w:t>清单、数量、单价、总价等</w:t>
      </w:r>
      <w:r>
        <w:rPr>
          <w:rFonts w:hint="eastAsia" w:cs="宋体" w:asciiTheme="minorEastAsia" w:hAnsiTheme="minorEastAsia" w:eastAsiaTheme="minorEastAsia"/>
          <w:kern w:val="0"/>
          <w:szCs w:val="24"/>
        </w:rPr>
        <w:t>。（按照附件格式）。</w:t>
      </w:r>
    </w:p>
    <w:p w14:paraId="4CA693B3">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（2）</w:t>
      </w:r>
      <w:r>
        <w:rPr>
          <w:rFonts w:cs="宋体" w:asciiTheme="minorEastAsia" w:hAnsiTheme="minorEastAsia" w:eastAsiaTheme="minorEastAsia"/>
          <w:kern w:val="0"/>
          <w:szCs w:val="24"/>
        </w:rPr>
        <w:t>报价为一次性报价。（不再进行二次报价）</w:t>
      </w:r>
    </w:p>
    <w:p w14:paraId="03269395">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（3）</w:t>
      </w:r>
      <w:r>
        <w:rPr>
          <w:rFonts w:cs="宋体" w:asciiTheme="minorEastAsia" w:hAnsiTheme="minorEastAsia" w:eastAsiaTheme="minorEastAsia"/>
          <w:kern w:val="0"/>
          <w:szCs w:val="24"/>
        </w:rPr>
        <w:t>报价页需由法人代表或授权代表签字、加盖公章。</w:t>
      </w:r>
    </w:p>
    <w:p w14:paraId="415597E1">
      <w:pPr>
        <w:spacing w:line="360" w:lineRule="auto"/>
        <w:ind w:firstLine="480"/>
        <w:rPr>
          <w:rFonts w:hint="eastAsia" w:cs="宋体" w:asciiTheme="minorEastAsia" w:hAnsiTheme="minorEastAsia" w:eastAsiaTheme="minorEastAsia"/>
          <w:kern w:val="0"/>
          <w:szCs w:val="24"/>
        </w:rPr>
      </w:pPr>
      <w:r>
        <w:rPr>
          <w:rFonts w:hint="eastAsia" w:cs="宋体" w:asciiTheme="minorEastAsia" w:hAnsiTheme="minorEastAsia" w:eastAsiaTheme="minorEastAsia"/>
          <w:kern w:val="0"/>
          <w:szCs w:val="24"/>
        </w:rPr>
        <w:t>（4）报价方式为总价包干制，招标人不再为该项目支付其他任何费用。</w:t>
      </w:r>
    </w:p>
    <w:p w14:paraId="11C871BC">
      <w:pPr>
        <w:pStyle w:val="2"/>
        <w:numPr>
          <w:ilvl w:val="0"/>
          <w:numId w:val="1"/>
        </w:numPr>
        <w:spacing w:line="360" w:lineRule="auto"/>
        <w:rPr>
          <w:rFonts w:hint="eastAsia" w:ascii="宋体" w:hAnsi="宋体"/>
          <w:sz w:val="24"/>
          <w:szCs w:val="24"/>
        </w:rPr>
      </w:pPr>
      <w:bookmarkStart w:id="12" w:name="_Toc157590066"/>
      <w:r>
        <w:rPr>
          <w:rFonts w:hint="eastAsia" w:ascii="宋体" w:hAnsi="宋体"/>
          <w:sz w:val="24"/>
          <w:szCs w:val="24"/>
        </w:rPr>
        <w:t>投标须知</w:t>
      </w:r>
      <w:bookmarkEnd w:id="12"/>
    </w:p>
    <w:p w14:paraId="1A370786">
      <w:pPr>
        <w:pStyle w:val="3"/>
        <w:rPr>
          <w:rFonts w:hint="eastAsia"/>
          <w:color w:val="000000"/>
          <w:sz w:val="24"/>
          <w:szCs w:val="24"/>
        </w:rPr>
      </w:pPr>
      <w:r>
        <w:rPr>
          <w:rFonts w:hint="eastAsia"/>
          <w:color w:val="000000"/>
          <w:sz w:val="24"/>
          <w:szCs w:val="24"/>
        </w:rPr>
        <w:t>7.1</w:t>
      </w:r>
      <w:r>
        <w:rPr>
          <w:color w:val="000000"/>
          <w:sz w:val="24"/>
          <w:szCs w:val="24"/>
        </w:rPr>
        <w:t>.</w:t>
      </w:r>
      <w:r>
        <w:rPr>
          <w:rFonts w:hint="eastAsia"/>
          <w:color w:val="000000"/>
          <w:sz w:val="24"/>
          <w:szCs w:val="24"/>
        </w:rPr>
        <w:t>投标须知</w:t>
      </w:r>
    </w:p>
    <w:p w14:paraId="7D5510D0">
      <w:pPr>
        <w:spacing w:line="360" w:lineRule="auto"/>
        <w:ind w:firstLine="480" w:firstLineChars="200"/>
        <w:rPr>
          <w:rFonts w:hint="eastAsia" w:asciiTheme="minorEastAsia" w:hAnsiTheme="minorEastAsia" w:eastAsiaTheme="minorEastAsia"/>
          <w:szCs w:val="24"/>
        </w:rPr>
      </w:pPr>
      <w:bookmarkStart w:id="13" w:name="_Toc518077761"/>
      <w:r>
        <w:rPr>
          <w:rFonts w:hint="eastAsia" w:asciiTheme="minorEastAsia" w:hAnsiTheme="minorEastAsia" w:eastAsiaTheme="minorEastAsia"/>
          <w:szCs w:val="24"/>
        </w:rPr>
        <w:t>（1）投标人应仔细阅读招标文件的所有内容，对于标书中的要求必须全部实现。投标人不得以他人名义投标或者以其他方式弄虚作假，骗取中标。</w:t>
      </w:r>
    </w:p>
    <w:p w14:paraId="62978E20">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（2）投标人必须保证投标产品完全满足技术参数和功能要求，如出现货不符实的情况，招标人有权要求投标人将设备替换为可以满足技术参数和功能要求的设备，由此造成的损失由投标人承担。</w:t>
      </w:r>
    </w:p>
    <w:p w14:paraId="6A479DB6">
      <w:pPr>
        <w:spacing w:line="360" w:lineRule="auto"/>
        <w:ind w:firstLine="480" w:firstLineChars="200"/>
        <w:rPr>
          <w:rFonts w:hint="eastAsia" w:asciiTheme="minorEastAsia" w:hAnsiTheme="minorEastAsia" w:eastAsiaTheme="minorEastAsia"/>
          <w:szCs w:val="24"/>
        </w:rPr>
      </w:pPr>
      <w:bookmarkStart w:id="14" w:name="OLE_LINK12"/>
      <w:r>
        <w:rPr>
          <w:rFonts w:hint="eastAsia" w:asciiTheme="minorEastAsia" w:hAnsiTheme="minorEastAsia" w:eastAsiaTheme="minorEastAsia"/>
          <w:szCs w:val="24"/>
        </w:rPr>
        <w:t>（3）投标人应承担参加本次投标的全部费用，不论投标的结果如何，招标人在任何情况下均不承担费用。</w:t>
      </w:r>
    </w:p>
    <w:p w14:paraId="5B2FE6F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（4）招标人对投标人提交的投标文件，在投标开始后均不退还。</w:t>
      </w:r>
    </w:p>
    <w:bookmarkEnd w:id="14"/>
    <w:p w14:paraId="4CA60B56">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（5）招标人本次项目联系人</w:t>
      </w:r>
    </w:p>
    <w:p w14:paraId="1BFADB9D">
      <w:pPr>
        <w:tabs>
          <w:tab w:val="left" w:pos="900"/>
        </w:tabs>
        <w:spacing w:line="360" w:lineRule="auto"/>
        <w:ind w:firstLine="570"/>
        <w:rPr>
          <w:rFonts w:hint="eastAsia" w:cs="宋体" w:asciiTheme="minorEastAsia" w:hAnsiTheme="minorEastAsia" w:eastAsiaTheme="minorEastAsia"/>
          <w:szCs w:val="24"/>
        </w:rPr>
      </w:pPr>
      <w:r>
        <w:rPr>
          <w:rFonts w:hint="eastAsia" w:cs="宋体" w:asciiTheme="minorEastAsia" w:hAnsiTheme="minorEastAsia" w:eastAsiaTheme="minorEastAsia"/>
          <w:szCs w:val="24"/>
        </w:rPr>
        <w:t>联系人：吴家玮</w:t>
      </w:r>
    </w:p>
    <w:p w14:paraId="04EF8736">
      <w:pPr>
        <w:tabs>
          <w:tab w:val="left" w:pos="900"/>
        </w:tabs>
        <w:spacing w:line="360" w:lineRule="auto"/>
        <w:ind w:firstLine="570"/>
        <w:rPr>
          <w:rFonts w:hint="eastAsia" w:asciiTheme="minorEastAsia" w:hAnsiTheme="minorEastAsia" w:eastAsiaTheme="minorEastAsia"/>
          <w:szCs w:val="24"/>
        </w:rPr>
      </w:pPr>
      <w:r>
        <w:rPr>
          <w:rFonts w:hint="eastAsia" w:asciiTheme="minorEastAsia" w:hAnsiTheme="minorEastAsia" w:eastAsiaTheme="minorEastAsia"/>
          <w:szCs w:val="24"/>
        </w:rPr>
        <w:t>电话：</w:t>
      </w:r>
      <w:r>
        <w:rPr>
          <w:rFonts w:hint="eastAsia" w:asciiTheme="minorEastAsia" w:hAnsiTheme="minorEastAsia" w:eastAsiaTheme="minorEastAsia"/>
          <w:szCs w:val="24"/>
          <w:lang w:val="en-US" w:eastAsia="zh-CN"/>
        </w:rPr>
        <w:t>0755-3352 2871</w:t>
      </w:r>
      <w:r>
        <w:rPr>
          <w:rFonts w:hint="eastAsia" w:asciiTheme="minorEastAsia" w:hAnsiTheme="minorEastAsia" w:eastAsiaTheme="minorEastAsia"/>
          <w:szCs w:val="24"/>
        </w:rPr>
        <w:t>，邮箱：</w:t>
      </w:r>
      <w:r>
        <w:rPr>
          <w:rFonts w:asciiTheme="minorEastAsia" w:hAnsiTheme="minorEastAsia" w:eastAsiaTheme="minorEastAsia"/>
          <w:szCs w:val="24"/>
        </w:rPr>
        <w:t>itzhaobiao@ztfsec.com</w:t>
      </w:r>
    </w:p>
    <w:p w14:paraId="37C35D53">
      <w:pPr>
        <w:pStyle w:val="3"/>
        <w:rPr>
          <w:rFonts w:hint="eastAsia"/>
          <w:color w:val="000000"/>
          <w:sz w:val="24"/>
          <w:szCs w:val="24"/>
        </w:rPr>
      </w:pPr>
      <w:r>
        <w:rPr>
          <w:color w:val="000000"/>
          <w:sz w:val="24"/>
          <w:szCs w:val="24"/>
        </w:rPr>
        <w:t>7.</w:t>
      </w:r>
      <w:r>
        <w:rPr>
          <w:rFonts w:hint="eastAsia"/>
          <w:color w:val="000000"/>
          <w:sz w:val="24"/>
          <w:szCs w:val="24"/>
        </w:rPr>
        <w:t>2</w:t>
      </w:r>
      <w:r>
        <w:rPr>
          <w:color w:val="000000"/>
          <w:sz w:val="24"/>
          <w:szCs w:val="24"/>
        </w:rPr>
        <w:t>.</w:t>
      </w:r>
      <w:r>
        <w:rPr>
          <w:rFonts w:hint="eastAsia"/>
          <w:color w:val="000000"/>
          <w:sz w:val="24"/>
          <w:szCs w:val="24"/>
        </w:rPr>
        <w:t>付款条件</w:t>
      </w:r>
    </w:p>
    <w:bookmarkEnd w:id="13"/>
    <w:p w14:paraId="45627838">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项目付款分</w:t>
      </w:r>
      <w:r>
        <w:rPr>
          <w:rFonts w:asciiTheme="minorEastAsia" w:hAnsiTheme="minorEastAsia" w:eastAsiaTheme="minorEastAsia"/>
          <w:bCs/>
          <w:szCs w:val="24"/>
        </w:rPr>
        <w:t>4</w:t>
      </w:r>
      <w:r>
        <w:rPr>
          <w:rFonts w:hint="eastAsia" w:asciiTheme="minorEastAsia" w:hAnsiTheme="minorEastAsia" w:eastAsiaTheme="minorEastAsia"/>
          <w:bCs/>
          <w:szCs w:val="24"/>
        </w:rPr>
        <w:t>次，付款条件如下：</w:t>
      </w:r>
    </w:p>
    <w:p w14:paraId="0FDE5212">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1次付款时间/条件：</w:t>
      </w:r>
      <w:r>
        <w:rPr>
          <w:rFonts w:hint="eastAsia" w:asciiTheme="minorEastAsia" w:hAnsiTheme="minorEastAsia" w:eastAsiaTheme="minorEastAsia"/>
          <w:bCs/>
          <w:szCs w:val="24"/>
        </w:rPr>
        <w:t>合同签订生效后，收到中标人所开具增值税发票的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64FD9DFA">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第2</w:t>
      </w:r>
      <w:r>
        <w:rPr>
          <w:rFonts w:asciiTheme="minorEastAsia" w:hAnsiTheme="minorEastAsia" w:eastAsiaTheme="minorEastAsia"/>
          <w:bCs/>
          <w:szCs w:val="24"/>
        </w:rPr>
        <w:t>次付款时间/条件：</w:t>
      </w:r>
      <w:r>
        <w:rPr>
          <w:rFonts w:hint="eastAsia" w:asciiTheme="minorEastAsia" w:hAnsiTheme="minorEastAsia" w:eastAsiaTheme="minorEastAsia"/>
          <w:bCs/>
          <w:szCs w:val="24"/>
        </w:rPr>
        <w:t>合同清单全部到货，中标人提供招标人项目经理签字的到货清单及中标人所开具增值税发票的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6AAC857F">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3次付款时间/条件：</w:t>
      </w:r>
      <w:r>
        <w:rPr>
          <w:rFonts w:hint="eastAsia" w:asciiTheme="minorEastAsia" w:hAnsiTheme="minorEastAsia" w:eastAsiaTheme="minorEastAsia"/>
          <w:bCs/>
          <w:szCs w:val="24"/>
        </w:rPr>
        <w:t>所有产品安装调试完成，安装验收报告签署完成，且中标人所开具增值税发票的</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3</w:t>
      </w:r>
      <w:r>
        <w:rPr>
          <w:rFonts w:hint="eastAsia" w:asciiTheme="minorEastAsia" w:hAnsiTheme="minorEastAsia" w:eastAsiaTheme="minorEastAsia"/>
          <w:bCs/>
          <w:szCs w:val="24"/>
        </w:rPr>
        <w:t>0</w:t>
      </w:r>
      <w:r>
        <w:rPr>
          <w:rFonts w:asciiTheme="minorEastAsia" w:hAnsiTheme="minorEastAsia" w:eastAsiaTheme="minorEastAsia"/>
          <w:bCs/>
          <w:szCs w:val="24"/>
        </w:rPr>
        <w:t>％</w:t>
      </w:r>
      <w:r>
        <w:rPr>
          <w:rFonts w:hint="eastAsia" w:asciiTheme="minorEastAsia" w:hAnsiTheme="minorEastAsia" w:eastAsiaTheme="minorEastAsia"/>
          <w:bCs/>
          <w:szCs w:val="24"/>
        </w:rPr>
        <w:t>付款</w:t>
      </w:r>
      <w:r>
        <w:rPr>
          <w:rFonts w:asciiTheme="minorEastAsia" w:hAnsiTheme="minorEastAsia" w:eastAsiaTheme="minorEastAsia"/>
          <w:bCs/>
          <w:szCs w:val="24"/>
        </w:rPr>
        <w:t>；</w:t>
      </w:r>
    </w:p>
    <w:p w14:paraId="2FA36A76">
      <w:pPr>
        <w:spacing w:line="360" w:lineRule="auto"/>
        <w:ind w:firstLine="480" w:firstLineChars="200"/>
        <w:rPr>
          <w:rFonts w:hint="eastAsia" w:asciiTheme="minorEastAsia" w:hAnsiTheme="minorEastAsia" w:eastAsiaTheme="minorEastAsia"/>
          <w:bCs/>
          <w:szCs w:val="24"/>
        </w:rPr>
      </w:pPr>
      <w:r>
        <w:rPr>
          <w:rFonts w:hint="eastAsia" w:asciiTheme="minorEastAsia" w:hAnsiTheme="minorEastAsia" w:eastAsiaTheme="minorEastAsia"/>
          <w:bCs/>
          <w:szCs w:val="24"/>
        </w:rPr>
        <w:t>第</w:t>
      </w:r>
      <w:r>
        <w:rPr>
          <w:rFonts w:asciiTheme="minorEastAsia" w:hAnsiTheme="minorEastAsia" w:eastAsiaTheme="minorEastAsia"/>
          <w:bCs/>
          <w:szCs w:val="24"/>
        </w:rPr>
        <w:t>4次付款时间/条件：</w:t>
      </w:r>
      <w:r>
        <w:rPr>
          <w:rFonts w:hint="eastAsia" w:asciiTheme="minorEastAsia" w:hAnsiTheme="minorEastAsia" w:eastAsiaTheme="minorEastAsia"/>
          <w:bCs/>
          <w:szCs w:val="24"/>
        </w:rPr>
        <w:t>项目投产运行，通过竣工验收后，收到中标人所开具增值税发票</w:t>
      </w:r>
      <w:r>
        <w:rPr>
          <w:rFonts w:asciiTheme="minorEastAsia" w:hAnsiTheme="minorEastAsia" w:eastAsiaTheme="minorEastAsia"/>
          <w:bCs/>
          <w:szCs w:val="24"/>
        </w:rPr>
        <w:t>30</w:t>
      </w:r>
      <w:r>
        <w:rPr>
          <w:rFonts w:hint="eastAsia" w:asciiTheme="minorEastAsia" w:hAnsiTheme="minorEastAsia" w:eastAsiaTheme="minorEastAsia"/>
          <w:bCs/>
          <w:szCs w:val="24"/>
        </w:rPr>
        <w:t>个工作日内，按中标金额</w:t>
      </w:r>
      <w:r>
        <w:rPr>
          <w:rFonts w:asciiTheme="minorEastAsia" w:hAnsiTheme="minorEastAsia" w:eastAsiaTheme="minorEastAsia"/>
          <w:bCs/>
          <w:szCs w:val="24"/>
        </w:rPr>
        <w:t>10</w:t>
      </w:r>
      <w:r>
        <w:rPr>
          <w:rFonts w:hint="eastAsia" w:asciiTheme="minorEastAsia" w:hAnsiTheme="minorEastAsia" w:eastAsiaTheme="minorEastAsia"/>
          <w:bCs/>
          <w:szCs w:val="24"/>
        </w:rPr>
        <w:t>％付款。</w:t>
      </w:r>
    </w:p>
    <w:p w14:paraId="4A939221">
      <w:pPr>
        <w:pStyle w:val="3"/>
        <w:rPr>
          <w:rFonts w:hint="eastAsia"/>
          <w:color w:val="000000"/>
          <w:sz w:val="24"/>
          <w:szCs w:val="24"/>
        </w:rPr>
      </w:pPr>
      <w:r>
        <w:rPr>
          <w:rFonts w:hint="eastAsia"/>
          <w:color w:val="000000"/>
          <w:sz w:val="24"/>
          <w:szCs w:val="24"/>
        </w:rPr>
        <w:t>7.3</w:t>
      </w:r>
      <w:r>
        <w:rPr>
          <w:color w:val="000000"/>
          <w:sz w:val="24"/>
          <w:szCs w:val="24"/>
        </w:rPr>
        <w:t>.</w:t>
      </w:r>
      <w:r>
        <w:rPr>
          <w:rFonts w:hint="eastAsia"/>
          <w:color w:val="000000"/>
          <w:sz w:val="24"/>
          <w:szCs w:val="24"/>
        </w:rPr>
        <w:t>违约责任</w:t>
      </w:r>
    </w:p>
    <w:p w14:paraId="6E5D24A9">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（1）非因中标人原因导致</w:t>
      </w:r>
      <w:r>
        <w:rPr>
          <w:rFonts w:asciiTheme="minorEastAsia" w:hAnsiTheme="minorEastAsia" w:eastAsiaTheme="minorEastAsia"/>
          <w:szCs w:val="24"/>
        </w:rPr>
        <w:t>招标人未能按约定履行付款义务，中标人有权就逾期未</w:t>
      </w:r>
      <w:r>
        <w:rPr>
          <w:rFonts w:hint="eastAsia" w:asciiTheme="minorEastAsia" w:hAnsiTheme="minorEastAsia" w:eastAsiaTheme="minorEastAsia"/>
          <w:szCs w:val="24"/>
        </w:rPr>
        <w:t>付</w:t>
      </w:r>
      <w:r>
        <w:rPr>
          <w:rFonts w:asciiTheme="minorEastAsia" w:hAnsiTheme="minorEastAsia" w:eastAsiaTheme="minorEastAsia"/>
          <w:szCs w:val="24"/>
        </w:rPr>
        <w:t>部分按照每月</w:t>
      </w:r>
      <w:r>
        <w:rPr>
          <w:rFonts w:hint="eastAsia" w:asciiTheme="minorEastAsia" w:hAnsiTheme="minorEastAsia" w:eastAsiaTheme="minorEastAsia"/>
          <w:szCs w:val="24"/>
        </w:rPr>
        <w:t>0.</w:t>
      </w:r>
      <w:r>
        <w:rPr>
          <w:rFonts w:asciiTheme="minorEastAsia" w:hAnsiTheme="minorEastAsia" w:eastAsiaTheme="minorEastAsia"/>
          <w:szCs w:val="24"/>
        </w:rPr>
        <w:t>2%的比率收取迟付金</w:t>
      </w:r>
      <w:r>
        <w:rPr>
          <w:rFonts w:hint="eastAsia" w:asciiTheme="minorEastAsia" w:hAnsiTheme="minorEastAsia" w:eastAsiaTheme="minorEastAsia"/>
          <w:szCs w:val="24"/>
        </w:rPr>
        <w:t>。逾期超过90个工作日的，中标人有权依据本约定合同终止与解除条款，解除本协议。</w:t>
      </w:r>
    </w:p>
    <w:p w14:paraId="1B09E09B">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（2）中标人交付产品不符合协议约定要求或标准的，中标人应按该产品对应费用的20%向招标人支付违约金，经两次修改仍未达成要求的，招标人有权依据本约定合同终止与解除条款，解除本协议及工作说明书。</w:t>
      </w:r>
    </w:p>
    <w:p w14:paraId="70008E33">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（3）中标人逾期向招标人提供交付产品的，每逾期一日，应按该交付产品对应阶段应付服务费的万分之一向招标人承担违约责任。</w:t>
      </w:r>
    </w:p>
    <w:p w14:paraId="6440263D">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中标人根据本协议及工作说明书或在履行本协议及工作说明书的过程中向招标人提供的有关信息、资料而产生的交付产品（含客户产品以及已有产品）侵害他人的知识产权，中标人应按本协议总费用的30%向招标人支付违约金。</w:t>
      </w:r>
    </w:p>
    <w:p w14:paraId="186E6896">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中标人未经招标人书面意擅自更换项目负责人的，应每人按项目总额1%向招标人承担违约责任。若中标人擅自更换项目负责人导致履行协议不能达到招标人要求的，招标人有权依据本约定合同终止与解除条款，解除本协议及工作说明书。</w:t>
      </w:r>
    </w:p>
    <w:p w14:paraId="2E9CF1F9">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中标人无正当理由更换项目负责人，应每人按项目总额2%向招标人承担违约责任。</w:t>
      </w:r>
    </w:p>
    <w:p w14:paraId="2EC85CC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中标人擅自更换主要服务人员的，应每人按项目总额1%向招标人承担违约责任。</w:t>
      </w:r>
    </w:p>
    <w:p w14:paraId="4F91417E">
      <w:pPr>
        <w:spacing w:line="360" w:lineRule="auto"/>
        <w:ind w:firstLine="480"/>
      </w:pPr>
      <w:r>
        <w:rPr>
          <w:rFonts w:hint="eastAsia" w:asciiTheme="minorEastAsia" w:hAnsiTheme="minorEastAsia" w:eastAsiaTheme="minorEastAsia"/>
          <w:szCs w:val="24"/>
        </w:rPr>
        <w:t>中标人无正当理由拒绝撤换主要服务人员的，应每人按项目总额1%向招标人承担违约责任。</w:t>
      </w:r>
    </w:p>
    <w:p w14:paraId="6BEABFD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（6）中标人违反合同“知识产权”、“保密条款”、“安全条款”等条款中任一约定的，应按合同总金额的</w:t>
      </w:r>
      <w:r>
        <w:rPr>
          <w:rFonts w:hint="eastAsia" w:asciiTheme="minorEastAsia" w:hAnsiTheme="minorEastAsia" w:eastAsiaTheme="minorEastAsia"/>
          <w:szCs w:val="24"/>
          <w:u w:val="single"/>
        </w:rPr>
        <w:t>5％</w:t>
      </w:r>
      <w:r>
        <w:rPr>
          <w:rFonts w:hint="eastAsia" w:asciiTheme="minorEastAsia" w:hAnsiTheme="minorEastAsia" w:eastAsiaTheme="minorEastAsia"/>
          <w:szCs w:val="24"/>
        </w:rPr>
        <w:t xml:space="preserve">向招标人支付违约金,除此之外招标人有权解除或部分解除合同。 </w:t>
      </w:r>
    </w:p>
    <w:p w14:paraId="3303993C">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（7）关于发票的其他约定</w:t>
      </w:r>
    </w:p>
    <w:p w14:paraId="5EFC8572">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若中标人提供的发票与合同载明信息不一致或发票不合规，招标人有权延迟支付应付款项直至中标人提供合法、合规发票为止，且不承担任何违约责任，因此产生的损失由中标人自行承担。</w:t>
      </w:r>
    </w:p>
    <w:p w14:paraId="01196144">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将严格按照相关税收法律法规，开具合法合规的增值税专用发票。汇总开具专用发票的，应按规定开具销售货物或者提供应税劳务清单。因中标人开具的增值税专用发票不符合税收法规或税务机关相关规定而给招标人造成经济损失的，中标人应承担赔偿责任，并重新向招标人开具符合规定的增值税专用发票。前述经济损失包括但不限于直接与间接损失、行政机关的罚金等。</w:t>
      </w:r>
    </w:p>
    <w:p w14:paraId="74815B96">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 xml:space="preserve">中标人开具增值税专用发票后的30个自然日内应派专人或使用挂号信件、特快专递等方式及时将增值税专用发票送达至招标人，逾期送达的，招标人有权拒收发票并要求中标人承担相应责任，包括但不限于赔偿损失、重新开具合法发票等。 </w:t>
      </w:r>
    </w:p>
    <w:p w14:paraId="1FF13D12">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开具的增值税专用发票在送达招标人以前如发生丢失或被盗等情况，导致相应票据未顺利送达招标人的，中标人应负责按照税收法规的相关规定提供有关资料，并确保招标人顺利获得抵扣，否则，招标人因此遭受的经济损失由中标人负责赔偿。</w:t>
      </w:r>
    </w:p>
    <w:p w14:paraId="67D251FE">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中标人开具的票据送达招标人后，如招标人丢失相关票据，中标人应积极协助招标人，按照相关税收法律法规提供有关资料，并确保招标人顺利获得抵扣。</w:t>
      </w:r>
    </w:p>
    <w:p w14:paraId="6E021DC1">
      <w:pPr>
        <w:numPr>
          <w:ilvl w:val="0"/>
          <w:numId w:val="2"/>
        </w:numPr>
        <w:spacing w:line="360" w:lineRule="auto"/>
        <w:ind w:firstLine="720" w:firstLineChars="300"/>
        <w:rPr>
          <w:rFonts w:hint="eastAsia" w:asciiTheme="minorEastAsia" w:hAnsiTheme="minorEastAsia" w:eastAsiaTheme="minorEastAsia"/>
          <w:szCs w:val="24"/>
        </w:rPr>
      </w:pPr>
      <w:r>
        <w:rPr>
          <w:rFonts w:hint="eastAsia" w:asciiTheme="minorEastAsia" w:hAnsiTheme="minorEastAsia" w:eastAsiaTheme="minorEastAsia"/>
          <w:szCs w:val="24"/>
        </w:rPr>
        <w:t>若中标人所提供的增值税专用发票不能认证通过，中标人应支付增值税专用发票中载明的税收款金额作为违约金。</w:t>
      </w:r>
    </w:p>
    <w:p w14:paraId="617A5BB3">
      <w:pPr>
        <w:pStyle w:val="3"/>
        <w:rPr>
          <w:rFonts w:hint="eastAsia"/>
          <w:color w:val="000000"/>
          <w:sz w:val="24"/>
          <w:szCs w:val="24"/>
        </w:rPr>
      </w:pPr>
      <w:r>
        <w:rPr>
          <w:rFonts w:hint="eastAsia"/>
          <w:color w:val="000000"/>
          <w:sz w:val="24"/>
          <w:szCs w:val="24"/>
        </w:rPr>
        <w:t>7.</w:t>
      </w:r>
      <w:r>
        <w:rPr>
          <w:color w:val="000000"/>
          <w:sz w:val="24"/>
          <w:szCs w:val="24"/>
        </w:rPr>
        <w:t>4.</w:t>
      </w:r>
      <w:r>
        <w:rPr>
          <w:rFonts w:hint="eastAsia"/>
          <w:color w:val="000000"/>
          <w:sz w:val="24"/>
          <w:szCs w:val="24"/>
        </w:rPr>
        <w:t>合同变更与解除</w:t>
      </w:r>
    </w:p>
    <w:p w14:paraId="79A67CB3">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为了平衡双方的权益，经招标人、中标人双方同意，若招标人对中标人交付的产品或咨询服务不满意的，招标人有权解除本协议，同时，此种解除并不构成中标人的违约，对于协议解除前中标人已经完成并交付给招标人经招标人明确以书面方式验收通过的产品，招标人应支付费用。</w:t>
      </w:r>
    </w:p>
    <w:p w14:paraId="25F07A6A">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中标人提供的服务或交付的交付产品不符合协议约定或招标人要求或经过招标人提出整改要求后，中标人经两次（含两次）修改以后仍未达成要求的，招标人有权解除本协议，同时，中标人应返还招标人已支付的服务费用。</w:t>
      </w:r>
    </w:p>
    <w:p w14:paraId="3CA4FCE0">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（3）中标人逾期超过45个工作日提供交付产品的，招标人有权解除本协议。</w:t>
      </w:r>
    </w:p>
    <w:p w14:paraId="73E9C12E">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（4）中标人交付产品不符合协议约定或招标人要求的，经招标人提出两次修改要求后，中标人仍未能交付符合协议约定要求或标准的交付产品的，招标人有权解除本协议及工作说明书。</w:t>
      </w:r>
    </w:p>
    <w:p w14:paraId="5F4C2D01">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（5）中标人擅自更换项目负责人导致履行协议不能达到招标人要求的，招标人有权依据本约定解除本协议及工作说明书。</w:t>
      </w:r>
    </w:p>
    <w:p w14:paraId="3646FAEA">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6）若发生双方依据本协议及工作说明书的约定或法律规定解除协议的，本协议及附件自另一方收到解除方解除合同通知之日解除。因招标人违约导致中标人行使解除权的，对于中标人已提交给招标人并经招标人书面验收通过的该部分产品的费用，以及招标人应向中标人支付的违约金，招标人均应在合同解除后45个工作日内支付。对于因中标人违约导致招标人行使解除权的，中标人应退还招标人已经支付但中标人尚未实际履行部分的费用，并按协议约定向招标人承担违约金或赔偿金，并在合同解除后45个工作日内支付完毕。</w:t>
      </w:r>
    </w:p>
    <w:p w14:paraId="00107450">
      <w:pPr>
        <w:pStyle w:val="2"/>
        <w:numPr>
          <w:ilvl w:val="0"/>
          <w:numId w:val="1"/>
        </w:numPr>
        <w:spacing w:line="360" w:lineRule="auto"/>
        <w:rPr>
          <w:rFonts w:hint="eastAsia" w:ascii="宋体" w:hAnsi="宋体"/>
          <w:sz w:val="24"/>
          <w:szCs w:val="24"/>
        </w:rPr>
      </w:pPr>
      <w:bookmarkStart w:id="15" w:name="_Toc157590067"/>
      <w:r>
        <w:rPr>
          <w:rFonts w:hint="eastAsia" w:ascii="宋体" w:hAnsi="宋体"/>
          <w:sz w:val="24"/>
          <w:szCs w:val="24"/>
        </w:rPr>
        <w:t>评标规则与中标通知</w:t>
      </w:r>
      <w:bookmarkEnd w:id="15"/>
    </w:p>
    <w:p w14:paraId="102E839E">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评标规则</w:t>
      </w:r>
    </w:p>
    <w:p w14:paraId="5B79E780">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（1）投标人应完全满足邀标书要求，否则取消资格。</w:t>
      </w:r>
    </w:p>
    <w:p w14:paraId="6A39788C">
      <w:pPr>
        <w:spacing w:line="360" w:lineRule="auto"/>
        <w:ind w:firstLine="480"/>
        <w:rPr>
          <w:rFonts w:hint="eastAsia" w:asciiTheme="minorEastAsia" w:hAnsiTheme="minorEastAsia" w:eastAsiaTheme="minorEastAsia"/>
          <w:szCs w:val="24"/>
        </w:rPr>
      </w:pPr>
      <w:r>
        <w:rPr>
          <w:rFonts w:hint="eastAsia" w:asciiTheme="minorEastAsia" w:hAnsiTheme="minorEastAsia" w:eastAsiaTheme="minorEastAsia"/>
          <w:szCs w:val="24"/>
        </w:rPr>
        <w:t>（2）本项目由招标现场评标工作组从投标人资质案例、技术支持服务、报价等方面进行综合评分，综合评分最高者中标。</w:t>
      </w:r>
    </w:p>
    <w:p w14:paraId="184BB832">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中标通知方式和时间</w:t>
      </w:r>
    </w:p>
    <w:p w14:paraId="72B1B208">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评标工作结束后，中天国富证券将依据评标最终结果，于公司官方网站正式发布招标结果公示信息，公示期设定为法定三个工作日。其他投标人对中标结果有异议的，可在公示期内提出，中天国富证券将对异议进行调查核实，并作出处理决定。公示期满且无异议或异议已处理的，中天国富证券将向中标人发出中标通知书</w:t>
      </w:r>
      <w:r>
        <w:rPr>
          <w:rFonts w:asciiTheme="minorEastAsia" w:hAnsiTheme="minorEastAsia" w:eastAsiaTheme="minorEastAsia"/>
          <w:szCs w:val="24"/>
        </w:rPr>
        <w:t>。</w:t>
      </w:r>
      <w:r>
        <w:commentReference w:id="2"/>
      </w:r>
    </w:p>
    <w:p w14:paraId="4F591B89">
      <w:pPr>
        <w:pStyle w:val="2"/>
        <w:numPr>
          <w:ilvl w:val="0"/>
          <w:numId w:val="1"/>
        </w:numPr>
        <w:spacing w:line="360" w:lineRule="auto"/>
        <w:rPr>
          <w:rFonts w:hint="eastAsia" w:ascii="宋体" w:hAnsi="宋体"/>
          <w:sz w:val="24"/>
          <w:szCs w:val="24"/>
        </w:rPr>
      </w:pPr>
      <w:bookmarkStart w:id="16" w:name="_Toc157590068"/>
      <w:bookmarkStart w:id="17" w:name="_Toc524615813"/>
      <w:r>
        <w:rPr>
          <w:rFonts w:hint="eastAsia" w:ascii="宋体" w:hAnsi="宋体"/>
          <w:sz w:val="24"/>
          <w:szCs w:val="24"/>
        </w:rPr>
        <w:t>投标文件组成</w:t>
      </w:r>
      <w:bookmarkEnd w:id="16"/>
      <w:bookmarkEnd w:id="17"/>
    </w:p>
    <w:p w14:paraId="2C919B57">
      <w:pPr>
        <w:pStyle w:val="3"/>
        <w:numPr>
          <w:ilvl w:val="1"/>
          <w:numId w:val="1"/>
        </w:numPr>
        <w:spacing w:line="360" w:lineRule="auto"/>
        <w:rPr>
          <w:rFonts w:hint="eastAsia" w:asciiTheme="minorEastAsia" w:hAnsiTheme="minorEastAsia" w:eastAsiaTheme="minorEastAsia"/>
          <w:sz w:val="24"/>
          <w:szCs w:val="24"/>
        </w:rPr>
      </w:pPr>
      <w:bookmarkStart w:id="18" w:name="_Toc451523651"/>
      <w:bookmarkStart w:id="19" w:name="_Toc364261852"/>
      <w:bookmarkStart w:id="20" w:name="_Toc364261129"/>
      <w:r>
        <w:rPr>
          <w:rFonts w:hint="eastAsia" w:asciiTheme="minorEastAsia" w:hAnsiTheme="minorEastAsia" w:eastAsiaTheme="minorEastAsia"/>
          <w:sz w:val="24"/>
          <w:szCs w:val="24"/>
        </w:rPr>
        <w:t>商务投标文件</w:t>
      </w:r>
      <w:bookmarkEnd w:id="18"/>
      <w:bookmarkEnd w:id="19"/>
      <w:bookmarkEnd w:id="20"/>
    </w:p>
    <w:p w14:paraId="3EB91C55">
      <w:pPr>
        <w:spacing w:line="360" w:lineRule="auto"/>
        <w:ind w:firstLine="410" w:firstLineChars="171"/>
        <w:rPr>
          <w:rFonts w:ascii="宋体" w:cs="宋体"/>
          <w:szCs w:val="24"/>
        </w:rPr>
      </w:pPr>
      <w:bookmarkStart w:id="21" w:name="_Toc364261130"/>
      <w:bookmarkStart w:id="22" w:name="_Toc364261853"/>
      <w:bookmarkStart w:id="23" w:name="_Toc451523652"/>
      <w:r>
        <w:rPr>
          <w:rFonts w:hint="eastAsia" w:asciiTheme="minorEastAsia" w:hAnsiTheme="minorEastAsia" w:eastAsiaTheme="minorEastAsia"/>
          <w:szCs w:val="24"/>
        </w:rPr>
        <w:t>（</w:t>
      </w:r>
      <w:r>
        <w:rPr>
          <w:rFonts w:ascii="宋体" w:hAnsi="宋体" w:cs="宋体"/>
          <w:szCs w:val="24"/>
        </w:rPr>
        <w:t>1</w:t>
      </w:r>
      <w:r>
        <w:rPr>
          <w:rFonts w:hint="eastAsia" w:asciiTheme="minorEastAsia" w:hAnsiTheme="minorEastAsia" w:eastAsiaTheme="minorEastAsia"/>
          <w:szCs w:val="24"/>
        </w:rPr>
        <w:t>）</w:t>
      </w:r>
      <w:r>
        <w:rPr>
          <w:rFonts w:hint="eastAsia" w:ascii="宋体" w:hAnsi="宋体" w:cs="宋体"/>
          <w:szCs w:val="24"/>
        </w:rPr>
        <w:t>目录。</w:t>
      </w:r>
    </w:p>
    <w:p w14:paraId="37E666EC">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2</w:t>
      </w:r>
      <w:r>
        <w:rPr>
          <w:rFonts w:hint="eastAsia" w:asciiTheme="minorEastAsia" w:hAnsiTheme="minorEastAsia" w:eastAsiaTheme="minorEastAsia"/>
          <w:szCs w:val="24"/>
        </w:rPr>
        <w:t>）</w:t>
      </w:r>
      <w:r>
        <w:rPr>
          <w:rFonts w:hint="eastAsia" w:ascii="宋体" w:hAnsi="宋体" w:cs="宋体"/>
          <w:szCs w:val="24"/>
        </w:rPr>
        <w:t>法定代表人资格证明书（附件</w:t>
      </w:r>
      <w:r>
        <w:rPr>
          <w:rFonts w:ascii="宋体" w:hAnsi="宋体" w:cs="宋体"/>
          <w:szCs w:val="24"/>
        </w:rPr>
        <w:t>3</w:t>
      </w:r>
      <w:r>
        <w:rPr>
          <w:rFonts w:hint="eastAsia" w:ascii="宋体" w:hAnsi="宋体" w:cs="宋体"/>
          <w:szCs w:val="24"/>
        </w:rPr>
        <w:t>）及法定代表人授权委托书（附件</w:t>
      </w:r>
      <w:r>
        <w:rPr>
          <w:rFonts w:ascii="宋体" w:hAnsi="宋体" w:cs="宋体"/>
          <w:szCs w:val="24"/>
        </w:rPr>
        <w:t>4</w:t>
      </w:r>
      <w:r>
        <w:rPr>
          <w:rFonts w:hint="eastAsia" w:ascii="宋体" w:hAnsi="宋体" w:cs="宋体"/>
          <w:szCs w:val="24"/>
        </w:rPr>
        <w:t>）（如委托他人办理，应附此证书）、公司规模、资质认证情况（例如信息系统集成及服务资质、信息技术服务运行维护标准符合性证书等）。</w:t>
      </w:r>
    </w:p>
    <w:p w14:paraId="4202B105">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3</w:t>
      </w:r>
      <w:r>
        <w:rPr>
          <w:rFonts w:hint="eastAsia" w:asciiTheme="minorEastAsia" w:hAnsiTheme="minorEastAsia" w:eastAsiaTheme="minorEastAsia"/>
          <w:szCs w:val="24"/>
        </w:rPr>
        <w:t>）</w:t>
      </w:r>
      <w:r>
        <w:rPr>
          <w:rFonts w:hint="eastAsia" w:ascii="宋体" w:hAnsi="宋体" w:cs="宋体"/>
          <w:szCs w:val="24"/>
        </w:rPr>
        <w:t>企业资信文件</w:t>
      </w:r>
    </w:p>
    <w:p w14:paraId="31BDEC0E">
      <w:pPr>
        <w:spacing w:line="360" w:lineRule="auto"/>
        <w:ind w:firstLine="650" w:firstLineChars="271"/>
        <w:rPr>
          <w:rFonts w:ascii="宋体" w:cs="宋体"/>
          <w:szCs w:val="24"/>
        </w:rPr>
      </w:pPr>
      <w:r>
        <w:rPr>
          <w:rFonts w:hint="eastAsia" w:ascii="宋体" w:hAnsi="宋体" w:cs="宋体"/>
          <w:szCs w:val="24"/>
        </w:rPr>
        <w:t>①企业营业执照复印件、组织机构代码证、税务登记证（或三证合一的营业执照复印件）、近二年财务报表等，需加盖公章。</w:t>
      </w:r>
    </w:p>
    <w:p w14:paraId="1DA73DFB">
      <w:pPr>
        <w:spacing w:line="360" w:lineRule="auto"/>
        <w:ind w:firstLine="650" w:firstLineChars="271"/>
        <w:rPr>
          <w:rFonts w:ascii="宋体" w:cs="宋体"/>
          <w:szCs w:val="24"/>
        </w:rPr>
      </w:pPr>
      <w:r>
        <w:rPr>
          <w:rFonts w:hint="eastAsia" w:ascii="宋体" w:hAnsi="宋体" w:cs="宋体"/>
          <w:szCs w:val="24"/>
        </w:rPr>
        <w:t>②网络设备经销商及服务合作伙伴资质证明，需加盖公章。</w:t>
      </w:r>
    </w:p>
    <w:p w14:paraId="14BB8E7A">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ascii="宋体" w:hAnsi="宋体" w:cs="宋体"/>
          <w:szCs w:val="24"/>
        </w:rPr>
        <w:t>4</w:t>
      </w:r>
      <w:r>
        <w:rPr>
          <w:rFonts w:hint="eastAsia" w:asciiTheme="minorEastAsia" w:hAnsiTheme="minorEastAsia" w:eastAsiaTheme="minorEastAsia"/>
          <w:szCs w:val="24"/>
        </w:rPr>
        <w:t>）</w:t>
      </w:r>
      <w:r>
        <w:rPr>
          <w:rFonts w:hint="eastAsia" w:ascii="宋体" w:hAnsi="宋体" w:cs="宋体"/>
          <w:szCs w:val="24"/>
        </w:rPr>
        <w:t>近三年（从投标之日起向前回溯）国内金融行业</w:t>
      </w:r>
      <w:r>
        <w:rPr>
          <w:rFonts w:hint="eastAsia" w:ascii="宋体" w:hAnsi="宋体"/>
          <w:szCs w:val="24"/>
        </w:rPr>
        <w:t>（证券业优先）</w:t>
      </w:r>
      <w:r>
        <w:rPr>
          <w:rFonts w:hint="eastAsia" w:ascii="宋体" w:hAnsi="宋体" w:cs="宋体"/>
          <w:szCs w:val="24"/>
        </w:rPr>
        <w:t>类似网络建设项目案例名称列表、案例证明资料，证明材料中需可以明确看到合同名称、首尾页、甲乙方名称、合同设备清单等信息。</w:t>
      </w:r>
    </w:p>
    <w:p w14:paraId="33D33EB6">
      <w:pPr>
        <w:spacing w:line="360" w:lineRule="auto"/>
        <w:ind w:firstLine="410" w:firstLineChars="171"/>
        <w:rPr>
          <w:rFonts w:hint="eastAsia" w:ascii="宋体" w:hAnsi="宋体" w:cs="宋体"/>
          <w:szCs w:val="24"/>
        </w:rPr>
      </w:pPr>
      <w:r>
        <w:rPr>
          <w:rFonts w:hint="eastAsia" w:asciiTheme="minorEastAsia" w:hAnsiTheme="minorEastAsia" w:eastAsiaTheme="minorEastAsia"/>
          <w:szCs w:val="24"/>
        </w:rPr>
        <w:t>（</w:t>
      </w:r>
      <w:r>
        <w:rPr>
          <w:rFonts w:ascii="宋体" w:hAnsi="宋体" w:cs="宋体"/>
          <w:szCs w:val="24"/>
        </w:rPr>
        <w:t>5</w:t>
      </w:r>
      <w:r>
        <w:rPr>
          <w:rFonts w:hint="eastAsia" w:asciiTheme="minorEastAsia" w:hAnsiTheme="minorEastAsia" w:eastAsiaTheme="minorEastAsia"/>
          <w:szCs w:val="24"/>
        </w:rPr>
        <w:t>）</w:t>
      </w:r>
      <w:r>
        <w:rPr>
          <w:rFonts w:hint="eastAsia" w:ascii="宋体" w:hAnsi="宋体" w:cs="宋体"/>
          <w:szCs w:val="24"/>
        </w:rPr>
        <w:t>投标人在深圳、贵阳（如果贵阳没有，请提供西南地区）设有售后服务机构（总部、分公司、办事处）以及技术工程师人员数量规模的证明材料（例如租房、社保等）。</w:t>
      </w:r>
    </w:p>
    <w:p w14:paraId="6B967452">
      <w:pPr>
        <w:spacing w:line="360" w:lineRule="auto"/>
        <w:ind w:firstLine="410" w:firstLineChars="171"/>
        <w:rPr>
          <w:rFonts w:hint="eastAsia" w:ascii="宋体" w:hAnsi="宋体" w:cs="宋体"/>
          <w:szCs w:val="24"/>
        </w:rPr>
      </w:pPr>
      <w:bookmarkStart w:id="24" w:name="_Hlk43811908"/>
      <w:r>
        <w:rPr>
          <w:rFonts w:hint="eastAsia" w:asciiTheme="minorEastAsia" w:hAnsiTheme="minorEastAsia" w:eastAsiaTheme="minorEastAsia"/>
          <w:szCs w:val="24"/>
        </w:rPr>
        <w:t>（</w:t>
      </w:r>
      <w:r>
        <w:rPr>
          <w:rFonts w:hint="eastAsia" w:ascii="宋体" w:hAnsi="宋体" w:cs="宋体"/>
          <w:szCs w:val="24"/>
        </w:rPr>
        <w:t>6</w:t>
      </w:r>
      <w:r>
        <w:rPr>
          <w:rFonts w:hint="eastAsia" w:asciiTheme="minorEastAsia" w:hAnsiTheme="minorEastAsia" w:eastAsiaTheme="minorEastAsia"/>
          <w:szCs w:val="24"/>
        </w:rPr>
        <w:t>）</w:t>
      </w:r>
      <w:r>
        <w:rPr>
          <w:rFonts w:hint="eastAsia" w:ascii="宋体" w:hAnsi="宋体" w:cs="宋体"/>
          <w:szCs w:val="24"/>
        </w:rPr>
        <w:t>原厂针对此项目的专项授权。</w:t>
      </w:r>
    </w:p>
    <w:p w14:paraId="57A68AD6">
      <w:pPr>
        <w:spacing w:line="360" w:lineRule="auto"/>
        <w:ind w:left="0" w:leftChars="0" w:firstLine="410" w:firstLineChars="171"/>
        <w:rPr>
          <w:rFonts w:hint="eastAsia" w:asciiTheme="minorEastAsia" w:hAnsiTheme="minorEastAsia" w:eastAsiaTheme="minorEastAsia"/>
          <w:szCs w:val="24"/>
          <w:highlight w:val="none"/>
          <w:lang w:val="en-US" w:eastAsia="zh-CN"/>
          <w:rPrChange w:id="11" w:author="吴家玮" w:date="2025-04-10T14:49:53Z">
            <w:rPr>
              <w:rFonts w:hint="eastAsia" w:asciiTheme="minorEastAsia" w:hAnsiTheme="minorEastAsia" w:eastAsiaTheme="minorEastAsia"/>
              <w:szCs w:val="24"/>
              <w:highlight w:val="yellow"/>
              <w:lang w:val="en-US" w:eastAsia="zh-CN"/>
            </w:rPr>
          </w:rPrChange>
        </w:rPr>
      </w:pPr>
      <w:r>
        <w:rPr>
          <w:rFonts w:hint="eastAsia" w:cs="Times New Roman" w:asciiTheme="minorEastAsia" w:hAnsiTheme="minorEastAsia" w:eastAsiaTheme="minorEastAsia"/>
          <w:szCs w:val="24"/>
          <w:highlight w:val="none"/>
          <w:lang w:eastAsia="zh-CN"/>
          <w:rPrChange w:id="12" w:author="吴家玮" w:date="2025-04-10T14:49:53Z">
            <w:rPr>
              <w:rFonts w:hint="eastAsia" w:cs="Times New Roman" w:asciiTheme="minorEastAsia" w:hAnsiTheme="minorEastAsia" w:eastAsiaTheme="minorEastAsia"/>
              <w:szCs w:val="24"/>
              <w:highlight w:val="yellow"/>
              <w:lang w:eastAsia="zh-CN"/>
            </w:rPr>
          </w:rPrChange>
        </w:rPr>
        <w:t>（</w:t>
      </w:r>
      <w:r>
        <w:rPr>
          <w:rFonts w:hint="eastAsia" w:cs="Times New Roman" w:asciiTheme="minorEastAsia" w:hAnsiTheme="minorEastAsia" w:eastAsiaTheme="minorEastAsia"/>
          <w:szCs w:val="24"/>
          <w:highlight w:val="none"/>
          <w:lang w:val="en-US" w:eastAsia="zh-CN"/>
          <w:rPrChange w:id="13" w:author="吴家玮" w:date="2025-04-10T14:49:53Z">
            <w:rPr>
              <w:rFonts w:hint="eastAsia" w:cs="Times New Roman" w:asciiTheme="minorEastAsia" w:hAnsiTheme="minorEastAsia" w:eastAsiaTheme="minorEastAsia"/>
              <w:szCs w:val="24"/>
              <w:highlight w:val="yellow"/>
              <w:lang w:val="en-US" w:eastAsia="zh-CN"/>
            </w:rPr>
          </w:rPrChange>
        </w:rPr>
        <w:t>7</w:t>
      </w:r>
      <w:r>
        <w:rPr>
          <w:rFonts w:hint="eastAsia" w:cs="Times New Roman" w:asciiTheme="minorEastAsia" w:hAnsiTheme="minorEastAsia" w:eastAsiaTheme="minorEastAsia"/>
          <w:szCs w:val="24"/>
          <w:highlight w:val="none"/>
          <w:lang w:eastAsia="zh-CN"/>
          <w:rPrChange w:id="14" w:author="吴家玮" w:date="2025-04-10T14:49:53Z">
            <w:rPr>
              <w:rFonts w:hint="eastAsia" w:cs="Times New Roman" w:asciiTheme="minorEastAsia" w:hAnsiTheme="minorEastAsia" w:eastAsiaTheme="minorEastAsia"/>
              <w:szCs w:val="24"/>
              <w:highlight w:val="yellow"/>
              <w:lang w:eastAsia="zh-CN"/>
            </w:rPr>
          </w:rPrChange>
        </w:rPr>
        <w:t>）</w:t>
      </w:r>
      <w:r>
        <w:rPr>
          <w:rFonts w:hint="eastAsia" w:cs="Times New Roman" w:asciiTheme="minorEastAsia" w:hAnsiTheme="minorEastAsia" w:eastAsiaTheme="minorEastAsia"/>
          <w:szCs w:val="24"/>
          <w:highlight w:val="none"/>
          <w:lang w:val="en-US" w:eastAsia="zh-CN"/>
          <w:rPrChange w:id="15" w:author="吴家玮" w:date="2025-04-10T14:49:53Z">
            <w:rPr>
              <w:rFonts w:hint="eastAsia" w:cs="Times New Roman" w:asciiTheme="minorEastAsia" w:hAnsiTheme="minorEastAsia" w:eastAsiaTheme="minorEastAsia"/>
              <w:szCs w:val="24"/>
              <w:highlight w:val="yellow"/>
              <w:lang w:val="en-US" w:eastAsia="zh-CN"/>
            </w:rPr>
          </w:rPrChange>
        </w:rPr>
        <w:t>廉洁协议书</w:t>
      </w:r>
      <w:bookmarkStart w:id="41" w:name="_GoBack"/>
      <w:bookmarkEnd w:id="41"/>
    </w:p>
    <w:bookmarkEnd w:id="24"/>
    <w:p w14:paraId="0470A0C8">
      <w:pPr>
        <w:spacing w:line="360" w:lineRule="auto"/>
        <w:ind w:firstLine="410" w:firstLineChars="171"/>
        <w:rPr>
          <w:rFonts w:ascii="宋体" w:cs="宋体"/>
          <w:szCs w:val="24"/>
        </w:rPr>
      </w:pPr>
      <w:r>
        <w:rPr>
          <w:rFonts w:hint="eastAsia" w:asciiTheme="minorEastAsia" w:hAnsiTheme="minorEastAsia" w:eastAsiaTheme="minorEastAsia"/>
          <w:szCs w:val="24"/>
        </w:rPr>
        <w:t>（</w:t>
      </w:r>
      <w:r>
        <w:rPr>
          <w:rFonts w:hint="eastAsia" w:asciiTheme="minorEastAsia" w:hAnsiTheme="minorEastAsia" w:eastAsiaTheme="minorEastAsia"/>
          <w:szCs w:val="24"/>
          <w:lang w:val="en-US" w:eastAsia="zh-CN"/>
        </w:rPr>
        <w:t>8</w:t>
      </w:r>
      <w:r>
        <w:rPr>
          <w:rFonts w:hint="eastAsia" w:asciiTheme="minorEastAsia" w:hAnsiTheme="minorEastAsia" w:eastAsiaTheme="minorEastAsia"/>
          <w:szCs w:val="24"/>
        </w:rPr>
        <w:t>）</w:t>
      </w:r>
      <w:r>
        <w:rPr>
          <w:rFonts w:hint="eastAsia" w:ascii="宋体" w:hAnsi="宋体" w:cs="宋体"/>
          <w:szCs w:val="24"/>
        </w:rPr>
        <w:t>其它材料：投标人认为应提交的其他材料。</w:t>
      </w:r>
    </w:p>
    <w:p w14:paraId="4FEFC8BB">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技术投标文件</w:t>
      </w:r>
      <w:bookmarkEnd w:id="21"/>
      <w:bookmarkEnd w:id="22"/>
      <w:bookmarkEnd w:id="23"/>
    </w:p>
    <w:p w14:paraId="2B005141">
      <w:pPr>
        <w:spacing w:line="360" w:lineRule="auto"/>
        <w:ind w:firstLine="410" w:firstLineChars="171"/>
        <w:rPr>
          <w:rFonts w:hint="eastAsia" w:ascii="宋体" w:hAnsi="宋体"/>
          <w:szCs w:val="24"/>
        </w:rPr>
      </w:pPr>
      <w:bookmarkStart w:id="25" w:name="_Toc364261854"/>
      <w:bookmarkStart w:id="26" w:name="_Toc364261131"/>
      <w:bookmarkStart w:id="27" w:name="_Toc451523653"/>
      <w:r>
        <w:rPr>
          <w:rFonts w:hint="eastAsia" w:ascii="宋体" w:hAnsi="宋体"/>
          <w:szCs w:val="24"/>
        </w:rPr>
        <w:t>根据招标文件技术条件，由投标人按照招标文件技术要求规定的内容自行编制，应包括但不限于如下内容：</w:t>
      </w:r>
    </w:p>
    <w:p w14:paraId="6754F411">
      <w:pPr>
        <w:spacing w:line="360" w:lineRule="auto"/>
        <w:ind w:firstLine="480" w:firstLineChars="200"/>
        <w:rPr>
          <w:rFonts w:ascii="宋体"/>
          <w:szCs w:val="24"/>
        </w:rPr>
      </w:pPr>
      <w:r>
        <w:rPr>
          <w:rFonts w:hint="eastAsia" w:asciiTheme="minorEastAsia" w:hAnsiTheme="minorEastAsia" w:eastAsiaTheme="minorEastAsia"/>
          <w:szCs w:val="24"/>
        </w:rPr>
        <w:t>（</w:t>
      </w:r>
      <w:r>
        <w:rPr>
          <w:rFonts w:hint="eastAsia" w:ascii="宋体" w:hAnsi="宋体" w:cs="宋体" w:eastAsiaTheme="minorEastAsia"/>
          <w:szCs w:val="24"/>
        </w:rPr>
        <w:t>1</w:t>
      </w:r>
      <w:r>
        <w:rPr>
          <w:rFonts w:hint="eastAsia" w:asciiTheme="minorEastAsia" w:hAnsiTheme="minorEastAsia" w:eastAsiaTheme="minorEastAsia"/>
          <w:szCs w:val="24"/>
        </w:rPr>
        <w:t>）</w:t>
      </w:r>
      <w:r>
        <w:rPr>
          <w:rFonts w:hint="eastAsia" w:ascii="宋体" w:hAnsi="宋体"/>
          <w:szCs w:val="24"/>
        </w:rPr>
        <w:t>目录。</w:t>
      </w:r>
    </w:p>
    <w:p w14:paraId="6800D7E0">
      <w:pPr>
        <w:spacing w:line="360" w:lineRule="auto"/>
        <w:ind w:firstLine="480" w:firstLineChars="200"/>
        <w:rPr>
          <w:rFonts w:ascii="宋体"/>
          <w:szCs w:val="24"/>
        </w:rPr>
      </w:pPr>
      <w:r>
        <w:rPr>
          <w:rFonts w:hint="eastAsia" w:asciiTheme="minorEastAsia" w:hAnsiTheme="minorEastAsia" w:eastAsiaTheme="minorEastAsia"/>
          <w:szCs w:val="24"/>
        </w:rPr>
        <w:t>（</w:t>
      </w:r>
      <w:r>
        <w:rPr>
          <w:rFonts w:hint="eastAsia" w:ascii="宋体" w:hAnsi="宋体" w:cs="宋体" w:eastAsiaTheme="minorEastAsia"/>
          <w:szCs w:val="24"/>
        </w:rPr>
        <w:t>2</w:t>
      </w:r>
      <w:r>
        <w:rPr>
          <w:rFonts w:hint="eastAsia" w:asciiTheme="minorEastAsia" w:hAnsiTheme="minorEastAsia" w:eastAsiaTheme="minorEastAsia"/>
          <w:szCs w:val="24"/>
        </w:rPr>
        <w:t>）</w:t>
      </w:r>
      <w:r>
        <w:rPr>
          <w:rFonts w:hint="eastAsia" w:ascii="宋体" w:hAnsi="宋体"/>
          <w:szCs w:val="24"/>
        </w:rPr>
        <w:t>按照附件格式提供偏离表（电子档需为</w:t>
      </w:r>
      <w:r>
        <w:rPr>
          <w:rFonts w:ascii="宋体" w:hAnsi="宋体"/>
          <w:szCs w:val="24"/>
        </w:rPr>
        <w:t>excel</w:t>
      </w:r>
      <w:r>
        <w:rPr>
          <w:rFonts w:hint="eastAsia" w:ascii="宋体" w:hAnsi="宋体"/>
          <w:szCs w:val="24"/>
        </w:rPr>
        <w:t>版本）。</w:t>
      </w:r>
    </w:p>
    <w:p w14:paraId="4C76D74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（3）技术方案</w:t>
      </w:r>
    </w:p>
    <w:p w14:paraId="203517AC">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不限于表述内容：系统需求分析、技术方案、实施方案、实施重点关注项、测试方案、关键技术路线等。</w:t>
      </w:r>
    </w:p>
    <w:p w14:paraId="24EAEB01">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w:t>
      </w:r>
      <w:r>
        <w:rPr>
          <w:rFonts w:hint="eastAsia" w:asciiTheme="minorEastAsia" w:hAnsiTheme="minorEastAsia" w:eastAsiaTheme="minorEastAsia"/>
          <w:szCs w:val="24"/>
        </w:rPr>
        <w:t>）实施及组织计划</w:t>
      </w:r>
    </w:p>
    <w:p w14:paraId="3E15598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不限于表述内容：项目团队、项目管理、项目计划及里程碑、项目风险识别与控制、项目质量管理措施、项目沟通管理、项目变更管理、测试方案、验收方案等。</w:t>
      </w:r>
    </w:p>
    <w:p w14:paraId="6616D4E5">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5</w:t>
      </w:r>
      <w:r>
        <w:rPr>
          <w:rFonts w:hint="eastAsia" w:asciiTheme="minorEastAsia" w:hAnsiTheme="minorEastAsia" w:eastAsiaTheme="minorEastAsia"/>
          <w:szCs w:val="24"/>
        </w:rPr>
        <w:t>）项目经理和项目成员信息，包括姓名、联系方式及相关资质认证情况，</w:t>
      </w:r>
      <w:r>
        <w:rPr>
          <w:rFonts w:asciiTheme="minorEastAsia" w:hAnsiTheme="minorEastAsia" w:eastAsiaTheme="minorEastAsia"/>
          <w:szCs w:val="24"/>
        </w:rPr>
        <w:t>要求社保可查</w:t>
      </w:r>
      <w:r>
        <w:rPr>
          <w:rFonts w:hint="eastAsia" w:asciiTheme="minorEastAsia" w:hAnsiTheme="minorEastAsia" w:eastAsiaTheme="minorEastAsia"/>
          <w:szCs w:val="24"/>
        </w:rPr>
        <w:t>。</w:t>
      </w:r>
    </w:p>
    <w:p w14:paraId="73434CF9">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6</w:t>
      </w:r>
      <w:r>
        <w:rPr>
          <w:rFonts w:hint="eastAsia" w:asciiTheme="minorEastAsia" w:hAnsiTheme="minorEastAsia" w:eastAsiaTheme="minorEastAsia"/>
          <w:szCs w:val="24"/>
        </w:rPr>
        <w:t>）在深圳的网络设备备品备件库地址、规模的证明材料。</w:t>
      </w:r>
    </w:p>
    <w:p w14:paraId="2448747B">
      <w:pPr>
        <w:spacing w:line="360" w:lineRule="auto"/>
        <w:ind w:firstLine="480" w:firstLineChars="200"/>
        <w:rPr>
          <w:rFonts w:hint="eastAsia"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7</w:t>
      </w:r>
      <w:r>
        <w:rPr>
          <w:rFonts w:hint="eastAsia" w:asciiTheme="minorEastAsia" w:hAnsiTheme="minorEastAsia" w:eastAsiaTheme="minorEastAsia"/>
          <w:szCs w:val="24"/>
        </w:rPr>
        <w:t>）售后服务说明，包括服务联系方式、服务流程、当地联系人及联系方式、巡检模板、原厂证明等。</w:t>
      </w:r>
    </w:p>
    <w:p w14:paraId="7DE2AE7C">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投标报价文件</w:t>
      </w:r>
      <w:bookmarkEnd w:id="25"/>
      <w:bookmarkEnd w:id="26"/>
      <w:bookmarkEnd w:id="27"/>
    </w:p>
    <w:p w14:paraId="6F91F205">
      <w:pPr>
        <w:spacing w:line="360" w:lineRule="auto"/>
        <w:ind w:firstLine="410" w:firstLineChars="171"/>
        <w:rPr>
          <w:rFonts w:hint="eastAsia" w:ascii="宋体" w:hAnsi="宋体"/>
          <w:szCs w:val="24"/>
        </w:rPr>
      </w:pPr>
      <w:bookmarkStart w:id="28" w:name="_Toc451523654"/>
      <w:bookmarkStart w:id="29" w:name="_Toc364261855"/>
      <w:bookmarkStart w:id="30" w:name="_Toc364261132"/>
      <w:r>
        <w:rPr>
          <w:rFonts w:hint="eastAsia" w:asciiTheme="majorEastAsia" w:hAnsiTheme="majorEastAsia" w:eastAsiaTheme="majorEastAsia"/>
          <w:szCs w:val="24"/>
        </w:rPr>
        <w:t>中天国富公司总部和分支机构上网行为管理设备更新项目产品报价清单</w:t>
      </w:r>
      <w:r>
        <w:rPr>
          <w:rFonts w:hint="eastAsia" w:ascii="宋体" w:hAnsi="宋体"/>
          <w:szCs w:val="24"/>
        </w:rPr>
        <w:t>（附件1）</w:t>
      </w:r>
    </w:p>
    <w:p w14:paraId="64D9CC8E">
      <w:pPr>
        <w:pStyle w:val="3"/>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电子版投标文件</w:t>
      </w:r>
      <w:bookmarkEnd w:id="28"/>
      <w:bookmarkEnd w:id="29"/>
      <w:bookmarkEnd w:id="30"/>
      <w:r>
        <w:rPr>
          <w:rFonts w:hint="eastAsia" w:asciiTheme="minorEastAsia" w:hAnsiTheme="minorEastAsia" w:eastAsiaTheme="minorEastAsia"/>
          <w:sz w:val="24"/>
          <w:szCs w:val="24"/>
        </w:rPr>
        <w:t>（U盘）</w:t>
      </w:r>
    </w:p>
    <w:p w14:paraId="07E4A192">
      <w:pPr>
        <w:pStyle w:val="2"/>
        <w:numPr>
          <w:ilvl w:val="0"/>
          <w:numId w:val="1"/>
        </w:numPr>
        <w:spacing w:line="360" w:lineRule="auto"/>
        <w:rPr>
          <w:rFonts w:hint="eastAsia" w:ascii="宋体" w:hAnsi="宋体"/>
          <w:sz w:val="24"/>
          <w:szCs w:val="24"/>
        </w:rPr>
      </w:pPr>
      <w:bookmarkStart w:id="31" w:name="_Toc157590069"/>
      <w:r>
        <w:rPr>
          <w:rFonts w:hint="eastAsia" w:ascii="宋体" w:hAnsi="宋体"/>
          <w:sz w:val="24"/>
          <w:szCs w:val="24"/>
        </w:rPr>
        <w:t>附件</w:t>
      </w:r>
      <w:bookmarkEnd w:id="31"/>
    </w:p>
    <w:p w14:paraId="18DBF25F">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附件1：中天国富公司总部和分支机构上网行为管理设备更新项目采购报价清单</w:t>
      </w:r>
    </w:p>
    <w:p w14:paraId="604E6F95">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object>
          <v:shape id="_x0000_i1025" o:spt="75" type="#_x0000_t75" style="height:65.4pt;width:72.6pt;" o:ole="t" filled="f" o:preferrelative="t" stroked="f" coordsize="21600,21600">
            <v:path/>
            <v:fill on="f" focussize="0,0"/>
            <v:stroke on="f"/>
            <v:imagedata r:id="rId10" o:title=""/>
            <o:lock v:ext="edit" aspectratio="t"/>
            <w10:wrap type="none"/>
            <w10:anchorlock/>
          </v:shape>
          <o:OLEObject Type="Embed" ProgID="Excel.Sheet.12" ShapeID="_x0000_i1025" DrawAspect="Icon" ObjectID="_1468075725" r:id="rId9">
            <o:LockedField>false</o:LockedField>
          </o:OLEObject>
        </w:object>
      </w:r>
    </w:p>
    <w:p w14:paraId="4E75D2F5">
      <w:pPr>
        <w:pStyle w:val="3"/>
        <w:tabs>
          <w:tab w:val="left" w:pos="6379"/>
        </w:tabs>
        <w:rPr>
          <w:rFonts w:hint="eastAsia" w:asciiTheme="majorEastAsia" w:hAnsiTheme="majorEastAsia" w:eastAsiaTheme="majorEastAsia"/>
          <w:sz w:val="24"/>
          <w:szCs w:val="24"/>
        </w:rPr>
      </w:pPr>
      <w:bookmarkStart w:id="32" w:name="_Toc524615814"/>
      <w:r>
        <w:rPr>
          <w:rFonts w:hint="eastAsia" w:asciiTheme="majorEastAsia" w:hAnsiTheme="majorEastAsia" w:eastAsiaTheme="majorEastAsia"/>
          <w:sz w:val="24"/>
          <w:szCs w:val="24"/>
        </w:rPr>
        <w:t>附件</w:t>
      </w:r>
      <w:r>
        <w:rPr>
          <w:rFonts w:asciiTheme="majorEastAsia" w:hAnsiTheme="majorEastAsia" w:eastAsiaTheme="majorEastAsia"/>
          <w:sz w:val="24"/>
          <w:szCs w:val="24"/>
        </w:rPr>
        <w:t>2</w:t>
      </w:r>
      <w:r>
        <w:rPr>
          <w:rFonts w:hint="eastAsia" w:asciiTheme="majorEastAsia" w:hAnsiTheme="majorEastAsia" w:eastAsiaTheme="majorEastAsia"/>
          <w:sz w:val="24"/>
          <w:szCs w:val="24"/>
        </w:rPr>
        <w:t>：中天国富公司总部和分支机构上网行为管理设备更新项目采购技术偏离表</w:t>
      </w:r>
    </w:p>
    <w:p w14:paraId="328FFE16">
      <w:pPr>
        <w:pStyle w:val="9"/>
        <w:ind w:left="0" w:leftChars="0"/>
        <w:rPr>
          <w:rFonts w:hint="eastAsia" w:eastAsia="宋体"/>
          <w:lang w:eastAsia="zh-CN"/>
        </w:rPr>
      </w:pPr>
      <w:r>
        <w:rPr>
          <w:rFonts w:hint="eastAsia" w:eastAsia="宋体"/>
          <w:lang w:eastAsia="zh-CN"/>
        </w:rPr>
        <w:object>
          <v:shape id="_x0000_i1026" o:spt="75" type="#_x0000_t75" style="height:65.4pt;width:72.6pt;" o:ole="t" filled="f" o:preferrelative="t" stroked="f" coordsize="21600,21600">
            <v:path/>
            <v:fill on="f" focussize="0,0"/>
            <v:stroke on="f"/>
            <v:imagedata r:id="rId12" o:title=""/>
            <o:lock v:ext="edit" aspectratio="t"/>
            <w10:wrap type="none"/>
            <w10:anchorlock/>
          </v:shape>
          <o:OLEObject Type="Embed" ProgID="Excel.Sheet.12" ShapeID="_x0000_i1026" DrawAspect="Icon" ObjectID="_1468075726" r:id="rId11">
            <o:LockedField>false</o:LockedField>
          </o:OLEObject>
        </w:object>
      </w:r>
    </w:p>
    <w:p w14:paraId="4E5138D4">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asciiTheme="majorEastAsia" w:hAnsiTheme="majorEastAsia" w:eastAsiaTheme="majorEastAsia"/>
          <w:sz w:val="24"/>
          <w:szCs w:val="24"/>
        </w:rPr>
        <w:t>3</w:t>
      </w:r>
      <w:r>
        <w:rPr>
          <w:rFonts w:hint="eastAsia" w:asciiTheme="majorEastAsia" w:hAnsiTheme="majorEastAsia" w:eastAsiaTheme="majorEastAsia"/>
          <w:sz w:val="24"/>
          <w:szCs w:val="24"/>
        </w:rPr>
        <w:t>：法定代表人身份证明书</w:t>
      </w:r>
    </w:p>
    <w:p w14:paraId="3E2E1929">
      <w:bookmarkStart w:id="33" w:name="_MON_1637419758"/>
      <w:bookmarkEnd w:id="33"/>
      <w:bookmarkStart w:id="34" w:name="_MON_1638269203"/>
      <w:bookmarkEnd w:id="34"/>
      <w:bookmarkStart w:id="35" w:name="_MON_1668597175"/>
      <w:bookmarkEnd w:id="35"/>
      <w:bookmarkStart w:id="36" w:name="_MON_1600515257"/>
      <w:bookmarkEnd w:id="36"/>
      <w:r>
        <w:rPr>
          <w:rFonts w:hint="eastAsia"/>
        </w:rPr>
        <w:object>
          <v:shape id="_x0000_i1027" o:spt="75" type="#_x0000_t75" style="height:65.4pt;width:72.6pt;" o:ole="t" filled="f" o:preferrelative="t" stroked="f" coordsize="21600,21600">
            <v:path/>
            <v:fill on="f" focussize="0,0"/>
            <v:stroke on="f" joinstyle="miter"/>
            <v:imagedata r:id="rId14" o:title=""/>
            <o:lock v:ext="edit" aspectratio="t"/>
            <w10:wrap type="none"/>
            <w10:anchorlock/>
          </v:shape>
          <o:OLEObject Type="Embed" ProgID="Word.Document.12" ShapeID="_x0000_i1027" DrawAspect="Icon" ObjectID="_1468075727" r:id="rId13">
            <o:LockedField>false</o:LockedField>
          </o:OLEObject>
        </w:object>
      </w:r>
    </w:p>
    <w:p w14:paraId="66BC723D">
      <w:pPr>
        <w:pStyle w:val="3"/>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w:t>
      </w:r>
      <w:r>
        <w:rPr>
          <w:rFonts w:asciiTheme="majorEastAsia" w:hAnsiTheme="majorEastAsia" w:eastAsiaTheme="majorEastAsia"/>
          <w:sz w:val="24"/>
          <w:szCs w:val="24"/>
        </w:rPr>
        <w:t>4</w:t>
      </w:r>
      <w:r>
        <w:rPr>
          <w:rFonts w:hint="eastAsia" w:asciiTheme="majorEastAsia" w:hAnsiTheme="majorEastAsia" w:eastAsiaTheme="majorEastAsia"/>
          <w:sz w:val="24"/>
          <w:szCs w:val="24"/>
        </w:rPr>
        <w:t>：法定代表人授权委托书</w:t>
      </w:r>
    </w:p>
    <w:p w14:paraId="73DFE69A">
      <w:pPr>
        <w:rPr>
          <w:rFonts w:hint="eastAsia" w:cs="宋体" w:asciiTheme="majorEastAsia" w:hAnsiTheme="majorEastAsia" w:eastAsiaTheme="majorEastAsia"/>
          <w:b/>
          <w:bCs/>
          <w:kern w:val="0"/>
          <w:szCs w:val="24"/>
        </w:rPr>
      </w:pPr>
      <w:bookmarkStart w:id="37" w:name="_MON_1637419768"/>
      <w:bookmarkEnd w:id="37"/>
      <w:bookmarkStart w:id="38" w:name="_MON_1668597217"/>
      <w:bookmarkEnd w:id="38"/>
      <w:bookmarkStart w:id="39" w:name="_MON_1600515301"/>
      <w:bookmarkEnd w:id="39"/>
      <w:bookmarkStart w:id="40" w:name="_MON_1638269230"/>
      <w:bookmarkEnd w:id="40"/>
      <w:r>
        <w:rPr>
          <w:rFonts w:hint="eastAsia" w:cs="宋体" w:asciiTheme="majorEastAsia" w:hAnsiTheme="majorEastAsia" w:eastAsiaTheme="majorEastAsia"/>
          <w:b/>
          <w:bCs/>
          <w:kern w:val="0"/>
          <w:szCs w:val="24"/>
        </w:rPr>
        <w:object>
          <v:shape id="_x0000_i1028" o:spt="75" type="#_x0000_t75" style="height:65.4pt;width:72.6pt;" o:ole="t" filled="f" o:preferrelative="t" stroked="f" coordsize="21600,21600">
            <v:path/>
            <v:fill on="f" focussize="0,0"/>
            <v:stroke on="f" joinstyle="miter"/>
            <v:imagedata r:id="rId16" o:title=""/>
            <o:lock v:ext="edit" aspectratio="t"/>
            <w10:wrap type="none"/>
            <w10:anchorlock/>
          </v:shape>
          <o:OLEObject Type="Embed" ProgID="Word.Document.12" ShapeID="_x0000_i1028" DrawAspect="Icon" ObjectID="_1468075728" r:id="rId15">
            <o:LockedField>false</o:LockedField>
          </o:OLEObject>
        </w:object>
      </w:r>
    </w:p>
    <w:p w14:paraId="3A60ACB3"/>
    <w:p w14:paraId="50E9E7A4">
      <w:pPr>
        <w:pStyle w:val="3"/>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附件</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廉洁协议书</w:t>
      </w:r>
    </w:p>
    <w:p w14:paraId="38E26DBF">
      <w:pPr>
        <w:rPr>
          <w:rFonts w:hint="default"/>
          <w:lang w:val="en-US" w:eastAsia="zh-CN"/>
        </w:rPr>
      </w:pPr>
      <w:r>
        <w:rPr>
          <w:rFonts w:hint="default"/>
          <w:lang w:val="en-US" w:eastAsia="zh-CN"/>
        </w:rPr>
        <w:object>
          <v:shape id="_x0000_i1029" o:spt="75" type="#_x0000_t75" style="height:65.4pt;width:72.6pt;" o:ole="t" filled="f" o:preferrelative="t" stroked="f" coordsize="21600,21600">
            <v:path/>
            <v:fill on="f" focussize="0,0"/>
            <v:stroke on="f"/>
            <v:imagedata r:id="rId18" o:title=""/>
            <o:lock v:ext="edit" aspectratio="t"/>
            <w10:wrap type="none"/>
            <w10:anchorlock/>
          </v:shape>
          <o:OLEObject Type="Embed" ProgID="Word.Document.12" ShapeID="_x0000_i1029" DrawAspect="Icon" ObjectID="_1468075729" r:id="rId17">
            <o:LockedField>false</o:LockedField>
          </o:OLEObject>
        </w:object>
      </w:r>
    </w:p>
    <w:p w14:paraId="501C3F0F"/>
    <w:p w14:paraId="34B0FB95"/>
    <w:p w14:paraId="202CBAEF"/>
    <w:bookmarkEnd w:id="32"/>
    <w:p w14:paraId="5B190377">
      <w:pPr>
        <w:spacing w:line="360" w:lineRule="auto"/>
        <w:jc w:val="right"/>
        <w:rPr>
          <w:rFonts w:hint="eastAsia" w:asciiTheme="minorEastAsia" w:hAnsiTheme="minorEastAsia" w:eastAsiaTheme="minorEastAsia"/>
          <w:szCs w:val="24"/>
        </w:rPr>
      </w:pPr>
      <w:r>
        <w:rPr>
          <w:rFonts w:hint="eastAsia" w:asciiTheme="minorEastAsia" w:hAnsiTheme="minorEastAsia" w:eastAsiaTheme="minorEastAsia"/>
          <w:szCs w:val="24"/>
        </w:rPr>
        <w:t>中天国富证券有限公司</w:t>
      </w:r>
    </w:p>
    <w:p w14:paraId="6A5876B3">
      <w:pPr>
        <w:spacing w:line="360" w:lineRule="auto"/>
        <w:jc w:val="right"/>
        <w:rPr>
          <w:rFonts w:hint="default" w:asciiTheme="minorEastAsia" w:hAnsiTheme="minorEastAsia" w:eastAsiaTheme="minorEastAsia"/>
          <w:szCs w:val="24"/>
          <w:lang w:val="en-US" w:eastAsia="zh-CN"/>
        </w:rPr>
      </w:pPr>
      <w:r>
        <w:rPr>
          <w:rFonts w:asciiTheme="minorEastAsia" w:hAnsiTheme="minorEastAsia" w:eastAsiaTheme="minorEastAsia"/>
          <w:szCs w:val="24"/>
        </w:rPr>
        <w:t xml:space="preserve">       2025-</w:t>
      </w:r>
      <w:r>
        <w:rPr>
          <w:rFonts w:hint="eastAsia" w:asciiTheme="minorEastAsia" w:hAnsiTheme="minorEastAsia" w:eastAsiaTheme="minorEastAsia"/>
          <w:szCs w:val="24"/>
          <w:lang w:val="en-US" w:eastAsia="zh-CN"/>
        </w:rPr>
        <w:t>4</w:t>
      </w:r>
      <w:r>
        <w:rPr>
          <w:rFonts w:asciiTheme="minorEastAsia" w:hAnsiTheme="minorEastAsia" w:eastAsiaTheme="minorEastAsia"/>
          <w:szCs w:val="24"/>
        </w:rPr>
        <w:t>-</w:t>
      </w:r>
      <w:r>
        <w:rPr>
          <w:rFonts w:hint="eastAsia" w:asciiTheme="minorEastAsia" w:hAnsiTheme="minorEastAsia" w:eastAsiaTheme="minorEastAsia"/>
          <w:szCs w:val="24"/>
          <w:lang w:val="en-US" w:eastAsia="zh-CN"/>
        </w:rPr>
        <w:t>10</w:t>
      </w:r>
    </w:p>
    <w:sectPr>
      <w:headerReference r:id="rId5" w:type="default"/>
      <w:footerReference r:id="rId6" w:type="default"/>
      <w:pgSz w:w="11906" w:h="16838"/>
      <w:pgMar w:top="1440" w:right="1800" w:bottom="1440" w:left="1800" w:header="851" w:footer="992" w:gutter="0"/>
      <w:cols w:space="720" w:num="1"/>
      <w:titlePg/>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焴" w:date="2025-04-09T10:36:20Z" w:initials="">
    <w:p w14:paraId="18764C10">
      <w:pPr>
        <w:spacing w:line="360" w:lineRule="auto"/>
        <w:ind w:firstLine="843" w:firstLineChars="350"/>
        <w:rPr>
          <w:rFonts w:hint="eastAsia"/>
          <w:lang w:val="en-US" w:eastAsia="zh-CN"/>
        </w:rPr>
      </w:pPr>
      <w:r>
        <w:rPr>
          <w:rFonts w:hint="eastAsia"/>
          <w:b/>
          <w:bCs/>
          <w:lang w:val="en-US" w:eastAsia="zh-CN"/>
        </w:rPr>
        <w:t>根据《招标采购操作细则》</w:t>
      </w:r>
      <w:r>
        <w:rPr>
          <w:rFonts w:hint="eastAsia"/>
          <w:lang w:val="en-US" w:eastAsia="zh-CN"/>
        </w:rPr>
        <w:t>“6.2.</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bCs/>
          <w:sz w:val="28"/>
          <w:szCs w:val="28"/>
          <w:highlight w:val="none"/>
        </w:rPr>
        <w:t>采取公开招标的，自招标文件开始发出之日起至投标人提交投标文件截止之日止，最短不得少于20个自然日。</w:t>
      </w:r>
      <w:r>
        <w:rPr>
          <w:rFonts w:hint="eastAsia"/>
          <w:lang w:val="en-US" w:eastAsia="zh-CN"/>
        </w:rPr>
        <w:t>”</w:t>
      </w:r>
    </w:p>
    <w:p w14:paraId="120D4D90">
      <w:pPr>
        <w:spacing w:line="360" w:lineRule="auto"/>
        <w:ind w:firstLine="843" w:firstLineChars="350"/>
        <w:rPr>
          <w:rFonts w:hint="default"/>
          <w:b/>
          <w:bCs/>
          <w:lang w:val="en-US" w:eastAsia="zh-CN"/>
        </w:rPr>
      </w:pPr>
      <w:r>
        <w:rPr>
          <w:rFonts w:hint="eastAsia"/>
          <w:b/>
          <w:bCs/>
          <w:lang w:val="en-US" w:eastAsia="zh-CN"/>
        </w:rPr>
        <w:t>需注意投标截止日须在发送招标文件至少20个自然日之后。即2025年4月30日只是报名截止时间，但投标截止时间，是在公示结束发送招标文件的再20个自然日之后。例2025年5月1日公示，5月2日发送招标文件，即提交投标文件截止日应在5月22日之后。</w:t>
      </w:r>
    </w:p>
    <w:p w14:paraId="0643412B">
      <w:pPr>
        <w:pStyle w:val="7"/>
      </w:pPr>
    </w:p>
  </w:comment>
  <w:comment w:id="1" w:author="王焴" w:date="2025-04-09T10:39:34Z" w:initials="">
    <w:p w14:paraId="7E112712">
      <w:pPr>
        <w:spacing w:line="360" w:lineRule="auto"/>
        <w:rPr>
          <w:rFonts w:hint="eastAsia"/>
          <w:lang w:val="en-US" w:eastAsia="zh-CN"/>
        </w:rPr>
      </w:pPr>
      <w:r>
        <w:rPr>
          <w:rFonts w:hint="eastAsia"/>
          <w:b/>
          <w:bCs/>
          <w:lang w:val="en-US" w:eastAsia="zh-CN"/>
        </w:rPr>
        <w:t>根据公司《招标采购操作细则》</w:t>
      </w:r>
      <w:r>
        <w:rPr>
          <w:rFonts w:hint="eastAsia"/>
          <w:lang w:val="en-US" w:eastAsia="zh-CN"/>
        </w:rPr>
        <w:t>“</w:t>
      </w:r>
      <w:r>
        <w:rPr>
          <w:rFonts w:hint="eastAsia" w:ascii="仿宋_GB2312" w:hAnsi="仿宋" w:eastAsia="仿宋_GB2312"/>
          <w:bCs/>
          <w:sz w:val="28"/>
          <w:szCs w:val="28"/>
          <w:lang w:val="en-US" w:eastAsia="zh-CN"/>
        </w:rPr>
        <w:t>7.3.6</w:t>
      </w:r>
      <w:r>
        <w:rPr>
          <w:rFonts w:hint="eastAsia" w:ascii="仿宋_GB2312" w:hAnsi="仿宋" w:eastAsia="仿宋_GB2312"/>
          <w:bCs/>
          <w:sz w:val="28"/>
          <w:szCs w:val="28"/>
        </w:rPr>
        <w:t xml:space="preserve"> 开标出现下列情形的作流标处理：在投标截止日期届满时，投标人不足3家或者对招标文件作实质响应的投标人不足3家的，作流标处理。未作实质响应包括但不限于以下情形：投标人未按照招标文件要求，对招标文件提出的要求和条件作出响应，或者作出的响应不完全，或者对某些重要方面和关键条款没有作出响应，或者这种响应与招标文件的要求存在重大偏差，视为未作实质响应。</w:t>
      </w:r>
      <w:r>
        <w:rPr>
          <w:rFonts w:hint="eastAsia"/>
          <w:lang w:val="en-US" w:eastAsia="zh-CN"/>
        </w:rPr>
        <w:t>”</w:t>
      </w:r>
      <w:r>
        <w:rPr>
          <w:rFonts w:hint="eastAsia"/>
          <w:b/>
          <w:bCs/>
          <w:lang w:val="en-US" w:eastAsia="zh-CN"/>
        </w:rPr>
        <w:t>及《</w:t>
      </w:r>
      <w:r>
        <w:rPr>
          <w:rFonts w:ascii="宋体" w:hAnsi="宋体" w:eastAsia="宋体" w:cs="宋体"/>
          <w:b/>
          <w:bCs/>
          <w:sz w:val="24"/>
          <w:szCs w:val="24"/>
        </w:rPr>
        <w:t>中华人民共和国招标投标法实施条例</w:t>
      </w:r>
      <w:r>
        <w:rPr>
          <w:rFonts w:hint="eastAsia"/>
          <w:b/>
          <w:bCs/>
          <w:lang w:val="en-US" w:eastAsia="zh-CN"/>
        </w:rPr>
        <w:t>》</w:t>
      </w:r>
      <w:r>
        <w:rPr>
          <w:rFonts w:hint="eastAsia" w:ascii="仿宋_GB2312" w:hAnsi="仿宋_GB2312" w:eastAsia="仿宋_GB2312" w:cs="仿宋_GB2312"/>
          <w:sz w:val="28"/>
          <w:szCs w:val="28"/>
          <w:lang w:val="en-US" w:eastAsia="zh-CN"/>
        </w:rPr>
        <w:t>“第四十四条 投标人少于3个的，不得开标；招标人应当重新招标”</w:t>
      </w:r>
    </w:p>
    <w:p w14:paraId="0DDD6FC1">
      <w:pPr>
        <w:spacing w:line="360" w:lineRule="auto"/>
        <w:rPr>
          <w:rFonts w:hint="default"/>
          <w:b/>
          <w:bCs/>
          <w:sz w:val="21"/>
          <w:szCs w:val="21"/>
          <w:lang w:val="en-US" w:eastAsia="zh-CN"/>
        </w:rPr>
      </w:pPr>
      <w:r>
        <w:rPr>
          <w:rFonts w:hint="eastAsia"/>
          <w:b/>
          <w:bCs/>
          <w:sz w:val="21"/>
          <w:szCs w:val="21"/>
          <w:lang w:val="en-US" w:eastAsia="zh-CN"/>
        </w:rPr>
        <w:t>该条不符规定</w:t>
      </w:r>
    </w:p>
    <w:p w14:paraId="6E9B1474">
      <w:pPr>
        <w:spacing w:line="360" w:lineRule="auto"/>
        <w:ind w:firstLine="632" w:firstLineChars="300"/>
        <w:rPr>
          <w:rFonts w:hint="default"/>
          <w:b/>
          <w:bCs/>
          <w:sz w:val="21"/>
          <w:szCs w:val="21"/>
          <w:lang w:val="en-US" w:eastAsia="zh-CN"/>
        </w:rPr>
      </w:pPr>
    </w:p>
  </w:comment>
  <w:comment w:id="2" w:author="王焴" w:date="2025-04-09T11:06:44Z" w:initials="">
    <w:p w14:paraId="4CC52456">
      <w:pPr>
        <w:spacing w:line="360" w:lineRule="auto"/>
        <w:rPr>
          <w:rFonts w:ascii="仿宋_GB2312" w:hAnsi="仿宋" w:eastAsia="仿宋_GB2312"/>
          <w:bCs/>
          <w:sz w:val="28"/>
          <w:szCs w:val="28"/>
        </w:rPr>
      </w:pPr>
      <w:r>
        <w:rPr>
          <w:rFonts w:hint="eastAsia"/>
          <w:b/>
          <w:bCs/>
          <w:lang w:val="en-US" w:eastAsia="zh-CN"/>
        </w:rPr>
        <w:t>根据《招标采购操作细则》</w:t>
      </w:r>
      <w:r>
        <w:rPr>
          <w:rFonts w:hint="eastAsia"/>
          <w:highlight w:val="none"/>
          <w:lang w:val="en-US" w:eastAsia="zh-CN"/>
        </w:rPr>
        <w:t>“7.6.1</w:t>
      </w:r>
      <w:r>
        <w:rPr>
          <w:rFonts w:hint="eastAsia" w:ascii="仿宋_GB2312" w:hAnsi="仿宋" w:eastAsia="仿宋_GB2312"/>
          <w:bCs/>
          <w:sz w:val="28"/>
          <w:szCs w:val="28"/>
          <w:highlight w:val="none"/>
        </w:rPr>
        <w:t>公开招标结果按照公开招标相关要求进行公示，若相关人员对招标结果持有异议，经查证招标过程确实</w:t>
      </w:r>
      <w:r>
        <w:rPr>
          <w:rFonts w:hint="eastAsia" w:ascii="仿宋_GB2312" w:hAnsi="仿宋" w:eastAsia="仿宋_GB2312"/>
          <w:bCs/>
          <w:sz w:val="28"/>
          <w:szCs w:val="28"/>
        </w:rPr>
        <w:t>存在违规违纪事实，招标单位将作废该次招标结果。</w:t>
      </w:r>
    </w:p>
    <w:p w14:paraId="64457407">
      <w:pPr>
        <w:spacing w:line="360" w:lineRule="auto"/>
        <w:ind w:left="1120" w:hanging="1120" w:hangingChars="400"/>
        <w:rPr>
          <w:rFonts w:hint="eastAsia" w:ascii="仿宋_GB2312" w:hAnsi="仿宋" w:eastAsia="仿宋_GB2312"/>
          <w:bCs/>
          <w:sz w:val="28"/>
          <w:szCs w:val="28"/>
        </w:rPr>
      </w:pPr>
      <w:r>
        <w:rPr>
          <w:rFonts w:hint="eastAsia" w:ascii="仿宋_GB2312" w:hAnsi="仿宋" w:eastAsia="仿宋_GB2312"/>
          <w:bCs/>
          <w:sz w:val="28"/>
          <w:szCs w:val="28"/>
          <w:lang w:val="en-US" w:eastAsia="zh-CN"/>
        </w:rPr>
        <w:t>7.6.2</w:t>
      </w:r>
      <w:r>
        <w:rPr>
          <w:rFonts w:ascii="仿宋_GB2312" w:hAnsi="仿宋" w:eastAsia="仿宋_GB2312"/>
          <w:bCs/>
          <w:sz w:val="28"/>
          <w:szCs w:val="28"/>
        </w:rPr>
        <w:t xml:space="preserve"> </w:t>
      </w:r>
      <w:r>
        <w:rPr>
          <w:rFonts w:hint="eastAsia" w:ascii="仿宋_GB2312" w:hAnsi="仿宋" w:eastAsia="仿宋_GB2312"/>
          <w:bCs/>
          <w:sz w:val="28"/>
          <w:szCs w:val="28"/>
          <w:lang w:val="en-US" w:eastAsia="zh-CN"/>
        </w:rPr>
        <w:t xml:space="preserve">  </w:t>
      </w:r>
      <w:r>
        <w:rPr>
          <w:rFonts w:hint="eastAsia" w:ascii="仿宋_GB2312" w:hAnsi="仿宋" w:eastAsia="仿宋_GB2312"/>
          <w:bCs/>
          <w:sz w:val="28"/>
          <w:szCs w:val="28"/>
        </w:rPr>
        <w:t>招标结果公示期满且未收到任何异议，招标组织单位依据评标小组评标结果向中标人发出《中标通知书》，同时将招标结果告知未中标人。</w:t>
      </w:r>
    </w:p>
    <w:p w14:paraId="788D4A6A">
      <w:pPr>
        <w:pStyle w:val="7"/>
        <w:rPr>
          <w:rFonts w:hint="eastAsia"/>
          <w:lang w:val="en-US" w:eastAsia="zh-CN"/>
        </w:rPr>
      </w:pPr>
      <w:r>
        <w:rPr>
          <w:rFonts w:hint="eastAsia"/>
          <w:lang w:val="en-US" w:eastAsia="zh-CN"/>
        </w:rPr>
        <w:t>”</w:t>
      </w:r>
    </w:p>
    <w:p w14:paraId="72627CE0">
      <w:pPr>
        <w:pStyle w:val="7"/>
        <w:rPr>
          <w:rFonts w:hint="default"/>
          <w:b/>
          <w:bCs/>
          <w:lang w:val="en-US" w:eastAsia="zh-CN"/>
        </w:rPr>
      </w:pPr>
      <w:r>
        <w:rPr>
          <w:rFonts w:hint="eastAsia"/>
          <w:b/>
          <w:bCs/>
          <w:lang w:val="en-US" w:eastAsia="zh-CN"/>
        </w:rPr>
        <w:t>是否应在该文件中提及，评标结束后，将在公司公网公示招标结果。</w:t>
      </w:r>
    </w:p>
    <w:p w14:paraId="79323E59">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43412B" w15:done="0"/>
  <w15:commentEx w15:paraId="6E9B1474" w15:done="0"/>
  <w15:commentEx w15:paraId="79323E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Noto Sans CJK JP Regular">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6FA0">
    <w:pPr>
      <w:pStyle w:val="12"/>
      <w:jc w:val="center"/>
    </w:pPr>
    <w:r>
      <w:rPr>
        <w:rFonts w:hint="eastAsia"/>
      </w:rPr>
      <w:t>第</w:t>
    </w:r>
    <w:r>
      <w:fldChar w:fldCharType="begin"/>
    </w:r>
    <w:r>
      <w:instrText xml:space="preserve">PAGE   \* MERGEFORMAT</w:instrText>
    </w:r>
    <w:r>
      <w:fldChar w:fldCharType="separate"/>
    </w:r>
    <w:r>
      <w:rPr>
        <w:lang w:val="zh-CN"/>
      </w:rPr>
      <w:t>5</w:t>
    </w:r>
    <w:r>
      <w:fldChar w:fldCharType="end"/>
    </w:r>
    <w:r>
      <w:rPr>
        <w:rFonts w:hint="eastAsia"/>
      </w:rPr>
      <w:t>页  共</w:t>
    </w:r>
    <w:r>
      <w:rPr>
        <w:rStyle w:val="22"/>
      </w:rPr>
      <w:fldChar w:fldCharType="begin"/>
    </w:r>
    <w:r>
      <w:rPr>
        <w:rStyle w:val="22"/>
      </w:rPr>
      <w:instrText xml:space="preserve"> NUMPAGES </w:instrText>
    </w:r>
    <w:r>
      <w:rPr>
        <w:rStyle w:val="22"/>
      </w:rPr>
      <w:fldChar w:fldCharType="separate"/>
    </w:r>
    <w:r>
      <w:rPr>
        <w:rStyle w:val="22"/>
      </w:rPr>
      <w:t>20</w:t>
    </w:r>
    <w:r>
      <w:rPr>
        <w:rStyle w:val="22"/>
      </w:rPr>
      <w:fldChar w:fldCharType="end"/>
    </w:r>
    <w:r>
      <w:rPr>
        <w:rFonts w:hint="eastAsia"/>
      </w:rPr>
      <w:t>页</w:t>
    </w:r>
  </w:p>
  <w:p w14:paraId="5207319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BF8E">
    <w:pPr>
      <w:pStyle w:val="13"/>
      <w:pBdr>
        <w:bottom w:val="single" w:color="auto" w:sz="6" w:space="0"/>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CF696"/>
    <w:multiLevelType w:val="singleLevel"/>
    <w:tmpl w:val="384CF696"/>
    <w:lvl w:ilvl="0" w:tentative="0">
      <w:start w:val="1"/>
      <w:numFmt w:val="decimalEnclosedCircleChinese"/>
      <w:suff w:val="nothing"/>
      <w:lvlText w:val="%1　"/>
      <w:lvlJc w:val="left"/>
      <w:pPr>
        <w:ind w:left="0" w:firstLine="400"/>
      </w:pPr>
      <w:rPr>
        <w:rFonts w:hint="eastAsia"/>
      </w:rPr>
    </w:lvl>
  </w:abstractNum>
  <w:abstractNum w:abstractNumId="1">
    <w:nsid w:val="4BAC5C9F"/>
    <w:multiLevelType w:val="multilevel"/>
    <w:tmpl w:val="4BAC5C9F"/>
    <w:lvl w:ilvl="0" w:tentative="0">
      <w:start w:val="1"/>
      <w:numFmt w:val="decimal"/>
      <w:lvlText w:val="%1."/>
      <w:lvlJc w:val="left"/>
      <w:pPr>
        <w:ind w:left="845" w:hanging="425"/>
      </w:pPr>
      <w:rPr>
        <w:rFonts w:asciiTheme="minorEastAsia" w:hAnsiTheme="minorEastAsia" w:eastAsiaTheme="minorEastAsia"/>
        <w:sz w:val="30"/>
        <w:szCs w:val="30"/>
      </w:rPr>
    </w:lvl>
    <w:lvl w:ilvl="1" w:tentative="0">
      <w:start w:val="1"/>
      <w:numFmt w:val="decimal"/>
      <w:lvlText w:val="%1.%2."/>
      <w:lvlJc w:val="left"/>
      <w:pPr>
        <w:ind w:left="987" w:hanging="567"/>
      </w:pPr>
      <w:rPr>
        <w:sz w:val="30"/>
        <w:szCs w:val="30"/>
      </w:rPr>
    </w:lvl>
    <w:lvl w:ilvl="2" w:tentative="0">
      <w:start w:val="1"/>
      <w:numFmt w:val="decimal"/>
      <w:lvlText w:val="%1.%2.%3."/>
      <w:lvlJc w:val="left"/>
      <w:pPr>
        <w:ind w:left="1129" w:hanging="709"/>
      </w:p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家玮">
    <w15:presenceInfo w15:providerId="WPS Office" w15:userId="6715403190"/>
  </w15:person>
  <w15:person w15:author="王焴">
    <w15:presenceInfo w15:providerId="WPS Office" w15:userId="6055762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revisionView w:markup="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WIxNjMyMTAyMWUyMDdlZDVmZDEzZTFiZWUxYjEifQ=="/>
  </w:docVars>
  <w:rsids>
    <w:rsidRoot w:val="00AE30EF"/>
    <w:rsid w:val="000045DB"/>
    <w:rsid w:val="00004D24"/>
    <w:rsid w:val="0000732A"/>
    <w:rsid w:val="00007C6A"/>
    <w:rsid w:val="00011CEB"/>
    <w:rsid w:val="00022FDA"/>
    <w:rsid w:val="000237D7"/>
    <w:rsid w:val="00023AFD"/>
    <w:rsid w:val="000273DF"/>
    <w:rsid w:val="00032321"/>
    <w:rsid w:val="000323B3"/>
    <w:rsid w:val="00033D77"/>
    <w:rsid w:val="00036415"/>
    <w:rsid w:val="000376F2"/>
    <w:rsid w:val="00037CA3"/>
    <w:rsid w:val="00050908"/>
    <w:rsid w:val="00061B4C"/>
    <w:rsid w:val="0006206C"/>
    <w:rsid w:val="00062098"/>
    <w:rsid w:val="00062C55"/>
    <w:rsid w:val="00067FB4"/>
    <w:rsid w:val="000707C9"/>
    <w:rsid w:val="00073E7B"/>
    <w:rsid w:val="000742C9"/>
    <w:rsid w:val="000755A5"/>
    <w:rsid w:val="0008079F"/>
    <w:rsid w:val="00081BFC"/>
    <w:rsid w:val="00082636"/>
    <w:rsid w:val="00084151"/>
    <w:rsid w:val="00090119"/>
    <w:rsid w:val="0009134B"/>
    <w:rsid w:val="00093C34"/>
    <w:rsid w:val="00097C0D"/>
    <w:rsid w:val="00097C47"/>
    <w:rsid w:val="000A1629"/>
    <w:rsid w:val="000A5C04"/>
    <w:rsid w:val="000A6917"/>
    <w:rsid w:val="000A7162"/>
    <w:rsid w:val="000A760E"/>
    <w:rsid w:val="000B0ED4"/>
    <w:rsid w:val="000B1256"/>
    <w:rsid w:val="000B20F6"/>
    <w:rsid w:val="000B441A"/>
    <w:rsid w:val="000B51E7"/>
    <w:rsid w:val="000B580A"/>
    <w:rsid w:val="000B7EB4"/>
    <w:rsid w:val="000C08C6"/>
    <w:rsid w:val="000C0FE4"/>
    <w:rsid w:val="000C2BE1"/>
    <w:rsid w:val="000C30D8"/>
    <w:rsid w:val="000C3C54"/>
    <w:rsid w:val="000C4787"/>
    <w:rsid w:val="000C5F9B"/>
    <w:rsid w:val="000C6FA9"/>
    <w:rsid w:val="000D063B"/>
    <w:rsid w:val="000D0C8F"/>
    <w:rsid w:val="000D2228"/>
    <w:rsid w:val="000D6B7A"/>
    <w:rsid w:val="000E2E1F"/>
    <w:rsid w:val="000E2E4B"/>
    <w:rsid w:val="000E4DB2"/>
    <w:rsid w:val="000F0833"/>
    <w:rsid w:val="000F093E"/>
    <w:rsid w:val="000F1675"/>
    <w:rsid w:val="000F7BAB"/>
    <w:rsid w:val="00101E2A"/>
    <w:rsid w:val="0010299F"/>
    <w:rsid w:val="00104315"/>
    <w:rsid w:val="00110156"/>
    <w:rsid w:val="00110848"/>
    <w:rsid w:val="00110BC4"/>
    <w:rsid w:val="00112021"/>
    <w:rsid w:val="0011250D"/>
    <w:rsid w:val="00114E4F"/>
    <w:rsid w:val="001157BC"/>
    <w:rsid w:val="00120E74"/>
    <w:rsid w:val="00122592"/>
    <w:rsid w:val="00122EF5"/>
    <w:rsid w:val="00124259"/>
    <w:rsid w:val="001260FB"/>
    <w:rsid w:val="001263AD"/>
    <w:rsid w:val="00131006"/>
    <w:rsid w:val="0013102F"/>
    <w:rsid w:val="0013297A"/>
    <w:rsid w:val="0013410C"/>
    <w:rsid w:val="001401F6"/>
    <w:rsid w:val="001403B1"/>
    <w:rsid w:val="00141D96"/>
    <w:rsid w:val="00142184"/>
    <w:rsid w:val="001453C9"/>
    <w:rsid w:val="00146998"/>
    <w:rsid w:val="00146CBF"/>
    <w:rsid w:val="00147910"/>
    <w:rsid w:val="0015252F"/>
    <w:rsid w:val="00153098"/>
    <w:rsid w:val="001537B7"/>
    <w:rsid w:val="00160086"/>
    <w:rsid w:val="00160400"/>
    <w:rsid w:val="00160A94"/>
    <w:rsid w:val="0016475C"/>
    <w:rsid w:val="001674FE"/>
    <w:rsid w:val="00167BA7"/>
    <w:rsid w:val="001710EA"/>
    <w:rsid w:val="001716C1"/>
    <w:rsid w:val="00171BB5"/>
    <w:rsid w:val="00171C72"/>
    <w:rsid w:val="001734A6"/>
    <w:rsid w:val="001764B6"/>
    <w:rsid w:val="00176731"/>
    <w:rsid w:val="001800D8"/>
    <w:rsid w:val="001816A4"/>
    <w:rsid w:val="00182C60"/>
    <w:rsid w:val="001849FF"/>
    <w:rsid w:val="0018515B"/>
    <w:rsid w:val="00187231"/>
    <w:rsid w:val="001951E9"/>
    <w:rsid w:val="001959CE"/>
    <w:rsid w:val="0019671E"/>
    <w:rsid w:val="0019676A"/>
    <w:rsid w:val="001A0F1C"/>
    <w:rsid w:val="001A1FD6"/>
    <w:rsid w:val="001A41B7"/>
    <w:rsid w:val="001A519E"/>
    <w:rsid w:val="001A527B"/>
    <w:rsid w:val="001A6216"/>
    <w:rsid w:val="001B4110"/>
    <w:rsid w:val="001B6A36"/>
    <w:rsid w:val="001B78F8"/>
    <w:rsid w:val="001C1CEE"/>
    <w:rsid w:val="001C3746"/>
    <w:rsid w:val="001C63AD"/>
    <w:rsid w:val="001D0025"/>
    <w:rsid w:val="001D2311"/>
    <w:rsid w:val="001D39AA"/>
    <w:rsid w:val="001D3E90"/>
    <w:rsid w:val="001D42C3"/>
    <w:rsid w:val="001E1955"/>
    <w:rsid w:val="001E21ED"/>
    <w:rsid w:val="001E3191"/>
    <w:rsid w:val="001E4276"/>
    <w:rsid w:val="001E5657"/>
    <w:rsid w:val="001F3562"/>
    <w:rsid w:val="002032F3"/>
    <w:rsid w:val="002047CE"/>
    <w:rsid w:val="00205F66"/>
    <w:rsid w:val="0020655E"/>
    <w:rsid w:val="00206827"/>
    <w:rsid w:val="002116D2"/>
    <w:rsid w:val="00212AC7"/>
    <w:rsid w:val="002135E7"/>
    <w:rsid w:val="00213A43"/>
    <w:rsid w:val="00222ABC"/>
    <w:rsid w:val="00226210"/>
    <w:rsid w:val="00227093"/>
    <w:rsid w:val="00230FFE"/>
    <w:rsid w:val="00231135"/>
    <w:rsid w:val="002319B6"/>
    <w:rsid w:val="00231EE5"/>
    <w:rsid w:val="0023326D"/>
    <w:rsid w:val="00233D98"/>
    <w:rsid w:val="002372AE"/>
    <w:rsid w:val="00237881"/>
    <w:rsid w:val="0024041B"/>
    <w:rsid w:val="00242082"/>
    <w:rsid w:val="002422A1"/>
    <w:rsid w:val="00245607"/>
    <w:rsid w:val="00250BA0"/>
    <w:rsid w:val="00256CA9"/>
    <w:rsid w:val="00260D3A"/>
    <w:rsid w:val="002626FD"/>
    <w:rsid w:val="002643FC"/>
    <w:rsid w:val="00264BAE"/>
    <w:rsid w:val="0026546D"/>
    <w:rsid w:val="00265B45"/>
    <w:rsid w:val="00271180"/>
    <w:rsid w:val="002735F8"/>
    <w:rsid w:val="00274CF7"/>
    <w:rsid w:val="00281882"/>
    <w:rsid w:val="0028273B"/>
    <w:rsid w:val="002848EE"/>
    <w:rsid w:val="00286439"/>
    <w:rsid w:val="00286B8C"/>
    <w:rsid w:val="00297758"/>
    <w:rsid w:val="002A04A7"/>
    <w:rsid w:val="002A242B"/>
    <w:rsid w:val="002A517D"/>
    <w:rsid w:val="002A7218"/>
    <w:rsid w:val="002A76AE"/>
    <w:rsid w:val="002A7A99"/>
    <w:rsid w:val="002A7B30"/>
    <w:rsid w:val="002B71AD"/>
    <w:rsid w:val="002B75C0"/>
    <w:rsid w:val="002C3A12"/>
    <w:rsid w:val="002C3C49"/>
    <w:rsid w:val="002C3D3A"/>
    <w:rsid w:val="002C4C7B"/>
    <w:rsid w:val="002C57B6"/>
    <w:rsid w:val="002C7443"/>
    <w:rsid w:val="002C7917"/>
    <w:rsid w:val="002D13E9"/>
    <w:rsid w:val="002D6E5D"/>
    <w:rsid w:val="002D757F"/>
    <w:rsid w:val="002E008B"/>
    <w:rsid w:val="002E15EB"/>
    <w:rsid w:val="002E3132"/>
    <w:rsid w:val="002E362A"/>
    <w:rsid w:val="002F198B"/>
    <w:rsid w:val="002F4380"/>
    <w:rsid w:val="002F52DE"/>
    <w:rsid w:val="002F5B24"/>
    <w:rsid w:val="002F6FB5"/>
    <w:rsid w:val="003008BE"/>
    <w:rsid w:val="00306999"/>
    <w:rsid w:val="003105DF"/>
    <w:rsid w:val="003123E3"/>
    <w:rsid w:val="00314B68"/>
    <w:rsid w:val="00316706"/>
    <w:rsid w:val="00316890"/>
    <w:rsid w:val="00316EE2"/>
    <w:rsid w:val="003226C8"/>
    <w:rsid w:val="00326C5A"/>
    <w:rsid w:val="00330DDE"/>
    <w:rsid w:val="003316D4"/>
    <w:rsid w:val="00332E5D"/>
    <w:rsid w:val="0033372D"/>
    <w:rsid w:val="00333F2B"/>
    <w:rsid w:val="00334E25"/>
    <w:rsid w:val="00336700"/>
    <w:rsid w:val="00344CCD"/>
    <w:rsid w:val="003465C8"/>
    <w:rsid w:val="003474F0"/>
    <w:rsid w:val="00347E5D"/>
    <w:rsid w:val="00350B91"/>
    <w:rsid w:val="00350F5A"/>
    <w:rsid w:val="0035141B"/>
    <w:rsid w:val="00351C4C"/>
    <w:rsid w:val="0035329A"/>
    <w:rsid w:val="0036015A"/>
    <w:rsid w:val="00362C01"/>
    <w:rsid w:val="0036304B"/>
    <w:rsid w:val="003646E6"/>
    <w:rsid w:val="003659C2"/>
    <w:rsid w:val="00367942"/>
    <w:rsid w:val="00370E6E"/>
    <w:rsid w:val="00370F38"/>
    <w:rsid w:val="00373344"/>
    <w:rsid w:val="00375EAB"/>
    <w:rsid w:val="00376176"/>
    <w:rsid w:val="00377938"/>
    <w:rsid w:val="00377A37"/>
    <w:rsid w:val="00380559"/>
    <w:rsid w:val="003817EE"/>
    <w:rsid w:val="00382DFF"/>
    <w:rsid w:val="003834C2"/>
    <w:rsid w:val="00384CAD"/>
    <w:rsid w:val="00386B53"/>
    <w:rsid w:val="00387889"/>
    <w:rsid w:val="00387BE8"/>
    <w:rsid w:val="00392302"/>
    <w:rsid w:val="0039304B"/>
    <w:rsid w:val="00393F7D"/>
    <w:rsid w:val="00395B66"/>
    <w:rsid w:val="0039734C"/>
    <w:rsid w:val="0039762D"/>
    <w:rsid w:val="003A0938"/>
    <w:rsid w:val="003A40A0"/>
    <w:rsid w:val="003A4354"/>
    <w:rsid w:val="003A7ADA"/>
    <w:rsid w:val="003A7B4B"/>
    <w:rsid w:val="003B1E80"/>
    <w:rsid w:val="003B61C4"/>
    <w:rsid w:val="003B7702"/>
    <w:rsid w:val="003C3F17"/>
    <w:rsid w:val="003C5977"/>
    <w:rsid w:val="003D272F"/>
    <w:rsid w:val="003D4ED3"/>
    <w:rsid w:val="003D71A9"/>
    <w:rsid w:val="003E3098"/>
    <w:rsid w:val="003E4630"/>
    <w:rsid w:val="003E4F6B"/>
    <w:rsid w:val="003F2545"/>
    <w:rsid w:val="003F425E"/>
    <w:rsid w:val="003F532A"/>
    <w:rsid w:val="003F5886"/>
    <w:rsid w:val="003F64A9"/>
    <w:rsid w:val="00403C89"/>
    <w:rsid w:val="004049A3"/>
    <w:rsid w:val="00410AE0"/>
    <w:rsid w:val="00412243"/>
    <w:rsid w:val="004124A7"/>
    <w:rsid w:val="00413114"/>
    <w:rsid w:val="00414122"/>
    <w:rsid w:val="0041571C"/>
    <w:rsid w:val="00415929"/>
    <w:rsid w:val="004165F4"/>
    <w:rsid w:val="0042010E"/>
    <w:rsid w:val="004217BB"/>
    <w:rsid w:val="004224FD"/>
    <w:rsid w:val="00423B1E"/>
    <w:rsid w:val="004250E5"/>
    <w:rsid w:val="00427BCF"/>
    <w:rsid w:val="00430BC0"/>
    <w:rsid w:val="00431A17"/>
    <w:rsid w:val="00431CCC"/>
    <w:rsid w:val="004331F3"/>
    <w:rsid w:val="0044058B"/>
    <w:rsid w:val="0044067F"/>
    <w:rsid w:val="00440B68"/>
    <w:rsid w:val="00442099"/>
    <w:rsid w:val="0044595D"/>
    <w:rsid w:val="00455EE9"/>
    <w:rsid w:val="0045706D"/>
    <w:rsid w:val="004575B2"/>
    <w:rsid w:val="0046146C"/>
    <w:rsid w:val="00462603"/>
    <w:rsid w:val="00466F4A"/>
    <w:rsid w:val="004672F9"/>
    <w:rsid w:val="00471AE5"/>
    <w:rsid w:val="0047286A"/>
    <w:rsid w:val="004768B9"/>
    <w:rsid w:val="00477C2F"/>
    <w:rsid w:val="00481AA1"/>
    <w:rsid w:val="00487EBA"/>
    <w:rsid w:val="00490729"/>
    <w:rsid w:val="00491829"/>
    <w:rsid w:val="0049491A"/>
    <w:rsid w:val="0049589A"/>
    <w:rsid w:val="004A0583"/>
    <w:rsid w:val="004A15C4"/>
    <w:rsid w:val="004A1F78"/>
    <w:rsid w:val="004A34A5"/>
    <w:rsid w:val="004A7092"/>
    <w:rsid w:val="004B4129"/>
    <w:rsid w:val="004B4ACD"/>
    <w:rsid w:val="004B537C"/>
    <w:rsid w:val="004B5550"/>
    <w:rsid w:val="004C514C"/>
    <w:rsid w:val="004C6CFE"/>
    <w:rsid w:val="004D1BDD"/>
    <w:rsid w:val="004D3ECD"/>
    <w:rsid w:val="004D48E0"/>
    <w:rsid w:val="004D74E3"/>
    <w:rsid w:val="004E37CD"/>
    <w:rsid w:val="004E4470"/>
    <w:rsid w:val="004E4A43"/>
    <w:rsid w:val="004F1541"/>
    <w:rsid w:val="004F2F69"/>
    <w:rsid w:val="004F45D8"/>
    <w:rsid w:val="004F55DA"/>
    <w:rsid w:val="004F626D"/>
    <w:rsid w:val="005019E5"/>
    <w:rsid w:val="00502A5F"/>
    <w:rsid w:val="00502C8A"/>
    <w:rsid w:val="005040D5"/>
    <w:rsid w:val="00505A14"/>
    <w:rsid w:val="00507819"/>
    <w:rsid w:val="005119D8"/>
    <w:rsid w:val="00512E6D"/>
    <w:rsid w:val="005169AF"/>
    <w:rsid w:val="005206A0"/>
    <w:rsid w:val="00521521"/>
    <w:rsid w:val="005216E4"/>
    <w:rsid w:val="005260BF"/>
    <w:rsid w:val="00526173"/>
    <w:rsid w:val="00526C9C"/>
    <w:rsid w:val="00526DDF"/>
    <w:rsid w:val="00530E37"/>
    <w:rsid w:val="0053274A"/>
    <w:rsid w:val="005353E6"/>
    <w:rsid w:val="00535ABB"/>
    <w:rsid w:val="00537EC0"/>
    <w:rsid w:val="005432F5"/>
    <w:rsid w:val="00545CEF"/>
    <w:rsid w:val="00550D4E"/>
    <w:rsid w:val="00550E00"/>
    <w:rsid w:val="0055193B"/>
    <w:rsid w:val="005539DA"/>
    <w:rsid w:val="00555275"/>
    <w:rsid w:val="00555721"/>
    <w:rsid w:val="00555A6A"/>
    <w:rsid w:val="0055636D"/>
    <w:rsid w:val="005602EE"/>
    <w:rsid w:val="0056238D"/>
    <w:rsid w:val="0056274C"/>
    <w:rsid w:val="00562D4C"/>
    <w:rsid w:val="00562F52"/>
    <w:rsid w:val="00563847"/>
    <w:rsid w:val="005772F0"/>
    <w:rsid w:val="005778F9"/>
    <w:rsid w:val="0058193B"/>
    <w:rsid w:val="00583A1A"/>
    <w:rsid w:val="005859D2"/>
    <w:rsid w:val="00587D8C"/>
    <w:rsid w:val="0059116F"/>
    <w:rsid w:val="00591170"/>
    <w:rsid w:val="0059120F"/>
    <w:rsid w:val="00593431"/>
    <w:rsid w:val="005A4EE1"/>
    <w:rsid w:val="005B14F7"/>
    <w:rsid w:val="005B1E13"/>
    <w:rsid w:val="005B3029"/>
    <w:rsid w:val="005B468C"/>
    <w:rsid w:val="005B6946"/>
    <w:rsid w:val="005C2127"/>
    <w:rsid w:val="005C3978"/>
    <w:rsid w:val="005C3B19"/>
    <w:rsid w:val="005C48F8"/>
    <w:rsid w:val="005C4A9D"/>
    <w:rsid w:val="005C64D4"/>
    <w:rsid w:val="005D1692"/>
    <w:rsid w:val="005D338B"/>
    <w:rsid w:val="005E4AB0"/>
    <w:rsid w:val="005E752D"/>
    <w:rsid w:val="005F186F"/>
    <w:rsid w:val="005F27B4"/>
    <w:rsid w:val="005F2C51"/>
    <w:rsid w:val="006036A2"/>
    <w:rsid w:val="006063BD"/>
    <w:rsid w:val="00606CDF"/>
    <w:rsid w:val="006115FF"/>
    <w:rsid w:val="00611993"/>
    <w:rsid w:val="00611A8F"/>
    <w:rsid w:val="00615323"/>
    <w:rsid w:val="00615A9E"/>
    <w:rsid w:val="00620A2C"/>
    <w:rsid w:val="00622C25"/>
    <w:rsid w:val="00622D51"/>
    <w:rsid w:val="00623B25"/>
    <w:rsid w:val="00625B54"/>
    <w:rsid w:val="00626179"/>
    <w:rsid w:val="00626FDB"/>
    <w:rsid w:val="006318A7"/>
    <w:rsid w:val="006328F6"/>
    <w:rsid w:val="00632A58"/>
    <w:rsid w:val="00636B02"/>
    <w:rsid w:val="00637E5D"/>
    <w:rsid w:val="00640086"/>
    <w:rsid w:val="00640110"/>
    <w:rsid w:val="006418D3"/>
    <w:rsid w:val="00641FAA"/>
    <w:rsid w:val="00646A1E"/>
    <w:rsid w:val="00653881"/>
    <w:rsid w:val="0065506F"/>
    <w:rsid w:val="0065578A"/>
    <w:rsid w:val="006601F1"/>
    <w:rsid w:val="0066069C"/>
    <w:rsid w:val="006611D2"/>
    <w:rsid w:val="006611FC"/>
    <w:rsid w:val="006618DB"/>
    <w:rsid w:val="006649EB"/>
    <w:rsid w:val="00666785"/>
    <w:rsid w:val="00667404"/>
    <w:rsid w:val="006703BA"/>
    <w:rsid w:val="00672158"/>
    <w:rsid w:val="00672424"/>
    <w:rsid w:val="00672A73"/>
    <w:rsid w:val="006739D1"/>
    <w:rsid w:val="006829A4"/>
    <w:rsid w:val="00684DE1"/>
    <w:rsid w:val="006859E2"/>
    <w:rsid w:val="00685C0B"/>
    <w:rsid w:val="006904F1"/>
    <w:rsid w:val="006926A2"/>
    <w:rsid w:val="00695E55"/>
    <w:rsid w:val="006A07CE"/>
    <w:rsid w:val="006A16EE"/>
    <w:rsid w:val="006A34CD"/>
    <w:rsid w:val="006A3CDB"/>
    <w:rsid w:val="006A6CD6"/>
    <w:rsid w:val="006A70CA"/>
    <w:rsid w:val="006B0FEC"/>
    <w:rsid w:val="006B262A"/>
    <w:rsid w:val="006B3475"/>
    <w:rsid w:val="006B50EE"/>
    <w:rsid w:val="006B6AFA"/>
    <w:rsid w:val="006C1740"/>
    <w:rsid w:val="006C3808"/>
    <w:rsid w:val="006C4211"/>
    <w:rsid w:val="006C4C94"/>
    <w:rsid w:val="006C561E"/>
    <w:rsid w:val="006C5827"/>
    <w:rsid w:val="006C5C87"/>
    <w:rsid w:val="006C6EBC"/>
    <w:rsid w:val="006C7CB4"/>
    <w:rsid w:val="006D27C7"/>
    <w:rsid w:val="006D54F1"/>
    <w:rsid w:val="006D6F8C"/>
    <w:rsid w:val="006D7572"/>
    <w:rsid w:val="006E0F56"/>
    <w:rsid w:val="006E190A"/>
    <w:rsid w:val="006E4298"/>
    <w:rsid w:val="006E4A3D"/>
    <w:rsid w:val="006E5610"/>
    <w:rsid w:val="006E737F"/>
    <w:rsid w:val="006F26A9"/>
    <w:rsid w:val="006F3574"/>
    <w:rsid w:val="006F7101"/>
    <w:rsid w:val="006F7282"/>
    <w:rsid w:val="006F7EB8"/>
    <w:rsid w:val="007037AE"/>
    <w:rsid w:val="00703AF1"/>
    <w:rsid w:val="00704413"/>
    <w:rsid w:val="00706EBC"/>
    <w:rsid w:val="007113BF"/>
    <w:rsid w:val="00712F6D"/>
    <w:rsid w:val="00713C88"/>
    <w:rsid w:val="00714DCC"/>
    <w:rsid w:val="007205F1"/>
    <w:rsid w:val="0072259A"/>
    <w:rsid w:val="00725045"/>
    <w:rsid w:val="00725ECD"/>
    <w:rsid w:val="00732ED4"/>
    <w:rsid w:val="00733591"/>
    <w:rsid w:val="00734084"/>
    <w:rsid w:val="007358C4"/>
    <w:rsid w:val="00735E0E"/>
    <w:rsid w:val="00750F09"/>
    <w:rsid w:val="0075254E"/>
    <w:rsid w:val="00754447"/>
    <w:rsid w:val="00757179"/>
    <w:rsid w:val="00757DA2"/>
    <w:rsid w:val="007616F4"/>
    <w:rsid w:val="0077399B"/>
    <w:rsid w:val="007749E7"/>
    <w:rsid w:val="007813B7"/>
    <w:rsid w:val="00781495"/>
    <w:rsid w:val="0078347A"/>
    <w:rsid w:val="00784F26"/>
    <w:rsid w:val="00785C5A"/>
    <w:rsid w:val="007919F5"/>
    <w:rsid w:val="00794FFA"/>
    <w:rsid w:val="007974BC"/>
    <w:rsid w:val="007A1694"/>
    <w:rsid w:val="007A1C19"/>
    <w:rsid w:val="007A2920"/>
    <w:rsid w:val="007A491B"/>
    <w:rsid w:val="007A79C5"/>
    <w:rsid w:val="007B019D"/>
    <w:rsid w:val="007B22F9"/>
    <w:rsid w:val="007B3FDB"/>
    <w:rsid w:val="007B4248"/>
    <w:rsid w:val="007B7601"/>
    <w:rsid w:val="007C01C2"/>
    <w:rsid w:val="007C20E6"/>
    <w:rsid w:val="007C3441"/>
    <w:rsid w:val="007C3C1D"/>
    <w:rsid w:val="007C5BF3"/>
    <w:rsid w:val="007C6B4F"/>
    <w:rsid w:val="007D207A"/>
    <w:rsid w:val="007D2B75"/>
    <w:rsid w:val="007D512C"/>
    <w:rsid w:val="007D557B"/>
    <w:rsid w:val="007D7F17"/>
    <w:rsid w:val="007D7F27"/>
    <w:rsid w:val="007E03D1"/>
    <w:rsid w:val="007E043E"/>
    <w:rsid w:val="007E161B"/>
    <w:rsid w:val="007E203A"/>
    <w:rsid w:val="007E62A5"/>
    <w:rsid w:val="007F1743"/>
    <w:rsid w:val="007F2D7F"/>
    <w:rsid w:val="007F30A9"/>
    <w:rsid w:val="007F5729"/>
    <w:rsid w:val="007F7958"/>
    <w:rsid w:val="00802F81"/>
    <w:rsid w:val="00803D26"/>
    <w:rsid w:val="00812D3D"/>
    <w:rsid w:val="008140DD"/>
    <w:rsid w:val="00814DCF"/>
    <w:rsid w:val="00816914"/>
    <w:rsid w:val="008205DF"/>
    <w:rsid w:val="00822EDC"/>
    <w:rsid w:val="0082330E"/>
    <w:rsid w:val="0083086C"/>
    <w:rsid w:val="00831375"/>
    <w:rsid w:val="00831A33"/>
    <w:rsid w:val="008361D3"/>
    <w:rsid w:val="0083621F"/>
    <w:rsid w:val="00841274"/>
    <w:rsid w:val="00841F66"/>
    <w:rsid w:val="00843237"/>
    <w:rsid w:val="00843E1F"/>
    <w:rsid w:val="00844AFB"/>
    <w:rsid w:val="00845CBB"/>
    <w:rsid w:val="00845D48"/>
    <w:rsid w:val="008476AB"/>
    <w:rsid w:val="00855AFA"/>
    <w:rsid w:val="008608AA"/>
    <w:rsid w:val="00862CF9"/>
    <w:rsid w:val="00864589"/>
    <w:rsid w:val="00867903"/>
    <w:rsid w:val="00871756"/>
    <w:rsid w:val="00874BD1"/>
    <w:rsid w:val="0087649A"/>
    <w:rsid w:val="00881AD7"/>
    <w:rsid w:val="008902CA"/>
    <w:rsid w:val="0089054E"/>
    <w:rsid w:val="00896056"/>
    <w:rsid w:val="008977FE"/>
    <w:rsid w:val="008A1A32"/>
    <w:rsid w:val="008A3594"/>
    <w:rsid w:val="008A3CA0"/>
    <w:rsid w:val="008A518E"/>
    <w:rsid w:val="008A549F"/>
    <w:rsid w:val="008A5B6C"/>
    <w:rsid w:val="008A5DD1"/>
    <w:rsid w:val="008A6030"/>
    <w:rsid w:val="008A7A7A"/>
    <w:rsid w:val="008B01AD"/>
    <w:rsid w:val="008B4CA8"/>
    <w:rsid w:val="008B4CF5"/>
    <w:rsid w:val="008B4F47"/>
    <w:rsid w:val="008B5070"/>
    <w:rsid w:val="008B725B"/>
    <w:rsid w:val="008C16FD"/>
    <w:rsid w:val="008C20EF"/>
    <w:rsid w:val="008C2576"/>
    <w:rsid w:val="008C520B"/>
    <w:rsid w:val="008C5777"/>
    <w:rsid w:val="008C7F15"/>
    <w:rsid w:val="008D09A1"/>
    <w:rsid w:val="008E0388"/>
    <w:rsid w:val="008E31EB"/>
    <w:rsid w:val="008E598B"/>
    <w:rsid w:val="008E69DF"/>
    <w:rsid w:val="008F0372"/>
    <w:rsid w:val="008F0A34"/>
    <w:rsid w:val="0090191D"/>
    <w:rsid w:val="00901F46"/>
    <w:rsid w:val="00904596"/>
    <w:rsid w:val="00904C73"/>
    <w:rsid w:val="00904E30"/>
    <w:rsid w:val="00906F9D"/>
    <w:rsid w:val="00907B1D"/>
    <w:rsid w:val="00910644"/>
    <w:rsid w:val="00910ACB"/>
    <w:rsid w:val="009116FD"/>
    <w:rsid w:val="00913E5A"/>
    <w:rsid w:val="009178E8"/>
    <w:rsid w:val="00931FCB"/>
    <w:rsid w:val="00932CF4"/>
    <w:rsid w:val="00932F8B"/>
    <w:rsid w:val="0093400A"/>
    <w:rsid w:val="00934823"/>
    <w:rsid w:val="00936813"/>
    <w:rsid w:val="0093775C"/>
    <w:rsid w:val="00937CA2"/>
    <w:rsid w:val="00941806"/>
    <w:rsid w:val="009420C6"/>
    <w:rsid w:val="009433E2"/>
    <w:rsid w:val="00943750"/>
    <w:rsid w:val="00945B36"/>
    <w:rsid w:val="009467B5"/>
    <w:rsid w:val="00952EA1"/>
    <w:rsid w:val="009531B0"/>
    <w:rsid w:val="00954671"/>
    <w:rsid w:val="00954956"/>
    <w:rsid w:val="0095656E"/>
    <w:rsid w:val="00960D81"/>
    <w:rsid w:val="009610F6"/>
    <w:rsid w:val="00961719"/>
    <w:rsid w:val="00961EC2"/>
    <w:rsid w:val="00970155"/>
    <w:rsid w:val="00970689"/>
    <w:rsid w:val="00970A96"/>
    <w:rsid w:val="00972CF0"/>
    <w:rsid w:val="00975CD6"/>
    <w:rsid w:val="009777F5"/>
    <w:rsid w:val="00980374"/>
    <w:rsid w:val="0098139A"/>
    <w:rsid w:val="009829C1"/>
    <w:rsid w:val="00983A1F"/>
    <w:rsid w:val="00985BF6"/>
    <w:rsid w:val="009869B0"/>
    <w:rsid w:val="00990BA9"/>
    <w:rsid w:val="00990D15"/>
    <w:rsid w:val="00990DD3"/>
    <w:rsid w:val="00992141"/>
    <w:rsid w:val="00994A0E"/>
    <w:rsid w:val="0099740C"/>
    <w:rsid w:val="009A20C7"/>
    <w:rsid w:val="009A27F6"/>
    <w:rsid w:val="009A312E"/>
    <w:rsid w:val="009A3FE7"/>
    <w:rsid w:val="009A451C"/>
    <w:rsid w:val="009A5CE8"/>
    <w:rsid w:val="009B2E93"/>
    <w:rsid w:val="009B4267"/>
    <w:rsid w:val="009B5231"/>
    <w:rsid w:val="009B6470"/>
    <w:rsid w:val="009B65AA"/>
    <w:rsid w:val="009B6A41"/>
    <w:rsid w:val="009B6F87"/>
    <w:rsid w:val="009B7123"/>
    <w:rsid w:val="009B741B"/>
    <w:rsid w:val="009B7C9E"/>
    <w:rsid w:val="009C04E0"/>
    <w:rsid w:val="009C155C"/>
    <w:rsid w:val="009C24D2"/>
    <w:rsid w:val="009C2505"/>
    <w:rsid w:val="009C25D1"/>
    <w:rsid w:val="009C2EF2"/>
    <w:rsid w:val="009C38FF"/>
    <w:rsid w:val="009C5F9D"/>
    <w:rsid w:val="009C5FCE"/>
    <w:rsid w:val="009C7BD3"/>
    <w:rsid w:val="009D08DB"/>
    <w:rsid w:val="009D148C"/>
    <w:rsid w:val="009D29B3"/>
    <w:rsid w:val="009D6390"/>
    <w:rsid w:val="009E1350"/>
    <w:rsid w:val="009E22C9"/>
    <w:rsid w:val="009F0EB4"/>
    <w:rsid w:val="009F1999"/>
    <w:rsid w:val="009F3A2D"/>
    <w:rsid w:val="009F4DAA"/>
    <w:rsid w:val="009F4EF9"/>
    <w:rsid w:val="00A01CBA"/>
    <w:rsid w:val="00A02EEF"/>
    <w:rsid w:val="00A035D3"/>
    <w:rsid w:val="00A04352"/>
    <w:rsid w:val="00A11B87"/>
    <w:rsid w:val="00A143E5"/>
    <w:rsid w:val="00A144C7"/>
    <w:rsid w:val="00A1672F"/>
    <w:rsid w:val="00A2081B"/>
    <w:rsid w:val="00A20FA0"/>
    <w:rsid w:val="00A211FC"/>
    <w:rsid w:val="00A2296E"/>
    <w:rsid w:val="00A40CB5"/>
    <w:rsid w:val="00A40E5C"/>
    <w:rsid w:val="00A43427"/>
    <w:rsid w:val="00A447B4"/>
    <w:rsid w:val="00A46E4F"/>
    <w:rsid w:val="00A5181C"/>
    <w:rsid w:val="00A57D45"/>
    <w:rsid w:val="00A61000"/>
    <w:rsid w:val="00A6189F"/>
    <w:rsid w:val="00A62507"/>
    <w:rsid w:val="00A62922"/>
    <w:rsid w:val="00A64E5A"/>
    <w:rsid w:val="00A652B3"/>
    <w:rsid w:val="00A655B9"/>
    <w:rsid w:val="00A667F2"/>
    <w:rsid w:val="00A71F35"/>
    <w:rsid w:val="00A727F4"/>
    <w:rsid w:val="00A72F99"/>
    <w:rsid w:val="00A73255"/>
    <w:rsid w:val="00A738F4"/>
    <w:rsid w:val="00A772E2"/>
    <w:rsid w:val="00A85D5A"/>
    <w:rsid w:val="00A87B9E"/>
    <w:rsid w:val="00A87F2B"/>
    <w:rsid w:val="00A905C7"/>
    <w:rsid w:val="00A9177B"/>
    <w:rsid w:val="00A92CCC"/>
    <w:rsid w:val="00A94BDC"/>
    <w:rsid w:val="00A95EDA"/>
    <w:rsid w:val="00AA13D2"/>
    <w:rsid w:val="00AA19D8"/>
    <w:rsid w:val="00AA5558"/>
    <w:rsid w:val="00AA70EB"/>
    <w:rsid w:val="00AB0BD0"/>
    <w:rsid w:val="00AB190F"/>
    <w:rsid w:val="00AB2F22"/>
    <w:rsid w:val="00AB308F"/>
    <w:rsid w:val="00AB394C"/>
    <w:rsid w:val="00AB43A0"/>
    <w:rsid w:val="00AB71F1"/>
    <w:rsid w:val="00AB74FC"/>
    <w:rsid w:val="00AC0194"/>
    <w:rsid w:val="00AC19B2"/>
    <w:rsid w:val="00AC1C2C"/>
    <w:rsid w:val="00AC2BC2"/>
    <w:rsid w:val="00AC66DC"/>
    <w:rsid w:val="00AC685E"/>
    <w:rsid w:val="00AC7C38"/>
    <w:rsid w:val="00AD05DC"/>
    <w:rsid w:val="00AD239A"/>
    <w:rsid w:val="00AD2464"/>
    <w:rsid w:val="00AD7480"/>
    <w:rsid w:val="00AD7914"/>
    <w:rsid w:val="00AE2339"/>
    <w:rsid w:val="00AE30EF"/>
    <w:rsid w:val="00AE4237"/>
    <w:rsid w:val="00AE522D"/>
    <w:rsid w:val="00AE599C"/>
    <w:rsid w:val="00AE651A"/>
    <w:rsid w:val="00AE6B55"/>
    <w:rsid w:val="00AF0209"/>
    <w:rsid w:val="00AF02BA"/>
    <w:rsid w:val="00AF1B12"/>
    <w:rsid w:val="00AF1DC4"/>
    <w:rsid w:val="00AF3C7D"/>
    <w:rsid w:val="00AF45B7"/>
    <w:rsid w:val="00AF6527"/>
    <w:rsid w:val="00AF68D6"/>
    <w:rsid w:val="00B00957"/>
    <w:rsid w:val="00B02B1B"/>
    <w:rsid w:val="00B03B5F"/>
    <w:rsid w:val="00B04355"/>
    <w:rsid w:val="00B05C74"/>
    <w:rsid w:val="00B06896"/>
    <w:rsid w:val="00B07FBC"/>
    <w:rsid w:val="00B107A4"/>
    <w:rsid w:val="00B262A6"/>
    <w:rsid w:val="00B27A08"/>
    <w:rsid w:val="00B30429"/>
    <w:rsid w:val="00B31C2A"/>
    <w:rsid w:val="00B34AB0"/>
    <w:rsid w:val="00B36A85"/>
    <w:rsid w:val="00B43A37"/>
    <w:rsid w:val="00B45195"/>
    <w:rsid w:val="00B45CF2"/>
    <w:rsid w:val="00B51A1E"/>
    <w:rsid w:val="00B54051"/>
    <w:rsid w:val="00B55345"/>
    <w:rsid w:val="00B604D1"/>
    <w:rsid w:val="00B609E5"/>
    <w:rsid w:val="00B61C41"/>
    <w:rsid w:val="00B67F8E"/>
    <w:rsid w:val="00B70A65"/>
    <w:rsid w:val="00B71596"/>
    <w:rsid w:val="00B741EE"/>
    <w:rsid w:val="00B75342"/>
    <w:rsid w:val="00B8031A"/>
    <w:rsid w:val="00B87429"/>
    <w:rsid w:val="00B87AC1"/>
    <w:rsid w:val="00B93119"/>
    <w:rsid w:val="00B93C55"/>
    <w:rsid w:val="00B93FD0"/>
    <w:rsid w:val="00B9629E"/>
    <w:rsid w:val="00B96FC5"/>
    <w:rsid w:val="00B97EAF"/>
    <w:rsid w:val="00BA1B3A"/>
    <w:rsid w:val="00BA4D5E"/>
    <w:rsid w:val="00BA5282"/>
    <w:rsid w:val="00BA7382"/>
    <w:rsid w:val="00BA7D7E"/>
    <w:rsid w:val="00BB224B"/>
    <w:rsid w:val="00BC0760"/>
    <w:rsid w:val="00BC333F"/>
    <w:rsid w:val="00BD4BBA"/>
    <w:rsid w:val="00BD5D9D"/>
    <w:rsid w:val="00BD60DB"/>
    <w:rsid w:val="00BD7033"/>
    <w:rsid w:val="00BD75C0"/>
    <w:rsid w:val="00BE1FC0"/>
    <w:rsid w:val="00BE296D"/>
    <w:rsid w:val="00BE4399"/>
    <w:rsid w:val="00BE5265"/>
    <w:rsid w:val="00BE5674"/>
    <w:rsid w:val="00BE7D50"/>
    <w:rsid w:val="00BF1B30"/>
    <w:rsid w:val="00BF2212"/>
    <w:rsid w:val="00BF430A"/>
    <w:rsid w:val="00C02AEC"/>
    <w:rsid w:val="00C02D93"/>
    <w:rsid w:val="00C05734"/>
    <w:rsid w:val="00C125A3"/>
    <w:rsid w:val="00C12E4D"/>
    <w:rsid w:val="00C13989"/>
    <w:rsid w:val="00C20A15"/>
    <w:rsid w:val="00C22720"/>
    <w:rsid w:val="00C245FB"/>
    <w:rsid w:val="00C26729"/>
    <w:rsid w:val="00C328FC"/>
    <w:rsid w:val="00C40917"/>
    <w:rsid w:val="00C476E0"/>
    <w:rsid w:val="00C51A2A"/>
    <w:rsid w:val="00C5394B"/>
    <w:rsid w:val="00C55EB3"/>
    <w:rsid w:val="00C571C4"/>
    <w:rsid w:val="00C57CA5"/>
    <w:rsid w:val="00C61FF7"/>
    <w:rsid w:val="00C6291F"/>
    <w:rsid w:val="00C64307"/>
    <w:rsid w:val="00C719A5"/>
    <w:rsid w:val="00C753B4"/>
    <w:rsid w:val="00C86464"/>
    <w:rsid w:val="00C865AE"/>
    <w:rsid w:val="00C909DF"/>
    <w:rsid w:val="00C90D46"/>
    <w:rsid w:val="00C915EB"/>
    <w:rsid w:val="00C93C35"/>
    <w:rsid w:val="00C97AE4"/>
    <w:rsid w:val="00CA1CBE"/>
    <w:rsid w:val="00CA2128"/>
    <w:rsid w:val="00CA3DA8"/>
    <w:rsid w:val="00CB14B7"/>
    <w:rsid w:val="00CB2F48"/>
    <w:rsid w:val="00CB3E85"/>
    <w:rsid w:val="00CB4FB3"/>
    <w:rsid w:val="00CB7B83"/>
    <w:rsid w:val="00CC055D"/>
    <w:rsid w:val="00CC294B"/>
    <w:rsid w:val="00CC7A39"/>
    <w:rsid w:val="00CD07EC"/>
    <w:rsid w:val="00CD0ADB"/>
    <w:rsid w:val="00CD1AA7"/>
    <w:rsid w:val="00CD1E63"/>
    <w:rsid w:val="00CD3D34"/>
    <w:rsid w:val="00CD5B83"/>
    <w:rsid w:val="00CD72A8"/>
    <w:rsid w:val="00CE0925"/>
    <w:rsid w:val="00CE37FB"/>
    <w:rsid w:val="00CE3AB6"/>
    <w:rsid w:val="00CE3AF3"/>
    <w:rsid w:val="00CE5497"/>
    <w:rsid w:val="00CE5898"/>
    <w:rsid w:val="00CE5A6D"/>
    <w:rsid w:val="00CE7787"/>
    <w:rsid w:val="00CE7C1E"/>
    <w:rsid w:val="00CF0804"/>
    <w:rsid w:val="00CF2AC7"/>
    <w:rsid w:val="00CF3BB1"/>
    <w:rsid w:val="00CF4E63"/>
    <w:rsid w:val="00CF65E0"/>
    <w:rsid w:val="00CF68B4"/>
    <w:rsid w:val="00CF7B7F"/>
    <w:rsid w:val="00CF7DE2"/>
    <w:rsid w:val="00D03CDC"/>
    <w:rsid w:val="00D03D21"/>
    <w:rsid w:val="00D03EC4"/>
    <w:rsid w:val="00D04B27"/>
    <w:rsid w:val="00D05A95"/>
    <w:rsid w:val="00D05C72"/>
    <w:rsid w:val="00D10425"/>
    <w:rsid w:val="00D1265D"/>
    <w:rsid w:val="00D12D43"/>
    <w:rsid w:val="00D13246"/>
    <w:rsid w:val="00D144AD"/>
    <w:rsid w:val="00D20199"/>
    <w:rsid w:val="00D20F2E"/>
    <w:rsid w:val="00D23538"/>
    <w:rsid w:val="00D25446"/>
    <w:rsid w:val="00D26ABF"/>
    <w:rsid w:val="00D307F3"/>
    <w:rsid w:val="00D32BD1"/>
    <w:rsid w:val="00D354F4"/>
    <w:rsid w:val="00D373C2"/>
    <w:rsid w:val="00D420FC"/>
    <w:rsid w:val="00D44D40"/>
    <w:rsid w:val="00D46F88"/>
    <w:rsid w:val="00D504B7"/>
    <w:rsid w:val="00D60581"/>
    <w:rsid w:val="00D6477E"/>
    <w:rsid w:val="00D75908"/>
    <w:rsid w:val="00D77E54"/>
    <w:rsid w:val="00D806B5"/>
    <w:rsid w:val="00D80C01"/>
    <w:rsid w:val="00D8753B"/>
    <w:rsid w:val="00D92E05"/>
    <w:rsid w:val="00D9433E"/>
    <w:rsid w:val="00D95AA2"/>
    <w:rsid w:val="00D9640C"/>
    <w:rsid w:val="00DA109F"/>
    <w:rsid w:val="00DA1E5D"/>
    <w:rsid w:val="00DA2A1B"/>
    <w:rsid w:val="00DA2F4E"/>
    <w:rsid w:val="00DA4C8D"/>
    <w:rsid w:val="00DA73FD"/>
    <w:rsid w:val="00DA7FD1"/>
    <w:rsid w:val="00DB052E"/>
    <w:rsid w:val="00DB0A22"/>
    <w:rsid w:val="00DB155C"/>
    <w:rsid w:val="00DB3323"/>
    <w:rsid w:val="00DB3CCE"/>
    <w:rsid w:val="00DB4D46"/>
    <w:rsid w:val="00DB71E6"/>
    <w:rsid w:val="00DB76DA"/>
    <w:rsid w:val="00DB7A80"/>
    <w:rsid w:val="00DC49BD"/>
    <w:rsid w:val="00DC6576"/>
    <w:rsid w:val="00DC7133"/>
    <w:rsid w:val="00DD1D2F"/>
    <w:rsid w:val="00DD49E9"/>
    <w:rsid w:val="00DD590B"/>
    <w:rsid w:val="00DD5954"/>
    <w:rsid w:val="00DD76C1"/>
    <w:rsid w:val="00DD7B9D"/>
    <w:rsid w:val="00DD7BD8"/>
    <w:rsid w:val="00DE01D2"/>
    <w:rsid w:val="00DE1031"/>
    <w:rsid w:val="00DE3744"/>
    <w:rsid w:val="00DF0318"/>
    <w:rsid w:val="00DF3F7D"/>
    <w:rsid w:val="00DF644B"/>
    <w:rsid w:val="00DF7C97"/>
    <w:rsid w:val="00E0148D"/>
    <w:rsid w:val="00E059B1"/>
    <w:rsid w:val="00E0623F"/>
    <w:rsid w:val="00E0629D"/>
    <w:rsid w:val="00E0783D"/>
    <w:rsid w:val="00E10A17"/>
    <w:rsid w:val="00E1480D"/>
    <w:rsid w:val="00E157D2"/>
    <w:rsid w:val="00E31023"/>
    <w:rsid w:val="00E33198"/>
    <w:rsid w:val="00E346F3"/>
    <w:rsid w:val="00E35781"/>
    <w:rsid w:val="00E35A2B"/>
    <w:rsid w:val="00E3622E"/>
    <w:rsid w:val="00E3738D"/>
    <w:rsid w:val="00E443A9"/>
    <w:rsid w:val="00E445BB"/>
    <w:rsid w:val="00E46796"/>
    <w:rsid w:val="00E509D2"/>
    <w:rsid w:val="00E51B31"/>
    <w:rsid w:val="00E543B1"/>
    <w:rsid w:val="00E54B50"/>
    <w:rsid w:val="00E55B83"/>
    <w:rsid w:val="00E5673E"/>
    <w:rsid w:val="00E6351B"/>
    <w:rsid w:val="00E642F1"/>
    <w:rsid w:val="00E64832"/>
    <w:rsid w:val="00E67491"/>
    <w:rsid w:val="00E67B22"/>
    <w:rsid w:val="00E700EB"/>
    <w:rsid w:val="00E71334"/>
    <w:rsid w:val="00E72922"/>
    <w:rsid w:val="00E74234"/>
    <w:rsid w:val="00E80315"/>
    <w:rsid w:val="00E80440"/>
    <w:rsid w:val="00E817B8"/>
    <w:rsid w:val="00E901B5"/>
    <w:rsid w:val="00E9085B"/>
    <w:rsid w:val="00E91F26"/>
    <w:rsid w:val="00EA203A"/>
    <w:rsid w:val="00EA61E7"/>
    <w:rsid w:val="00EB4844"/>
    <w:rsid w:val="00EB48FA"/>
    <w:rsid w:val="00EB4C0B"/>
    <w:rsid w:val="00EB4F1E"/>
    <w:rsid w:val="00EB5EF1"/>
    <w:rsid w:val="00EC097B"/>
    <w:rsid w:val="00EC1127"/>
    <w:rsid w:val="00EC2D39"/>
    <w:rsid w:val="00EC492A"/>
    <w:rsid w:val="00EC66D0"/>
    <w:rsid w:val="00EC6916"/>
    <w:rsid w:val="00EC72A0"/>
    <w:rsid w:val="00ED0EA6"/>
    <w:rsid w:val="00ED47D6"/>
    <w:rsid w:val="00ED74F9"/>
    <w:rsid w:val="00EE09F6"/>
    <w:rsid w:val="00EE16D1"/>
    <w:rsid w:val="00EE4727"/>
    <w:rsid w:val="00EE7133"/>
    <w:rsid w:val="00EF2C4D"/>
    <w:rsid w:val="00EF3EA0"/>
    <w:rsid w:val="00EF4F92"/>
    <w:rsid w:val="00F07CF0"/>
    <w:rsid w:val="00F125A2"/>
    <w:rsid w:val="00F21EB7"/>
    <w:rsid w:val="00F23884"/>
    <w:rsid w:val="00F27C91"/>
    <w:rsid w:val="00F3114A"/>
    <w:rsid w:val="00F34FAA"/>
    <w:rsid w:val="00F35A1C"/>
    <w:rsid w:val="00F41C97"/>
    <w:rsid w:val="00F423DD"/>
    <w:rsid w:val="00F42DA3"/>
    <w:rsid w:val="00F442D1"/>
    <w:rsid w:val="00F50BCB"/>
    <w:rsid w:val="00F57C3C"/>
    <w:rsid w:val="00F609D4"/>
    <w:rsid w:val="00F61D3E"/>
    <w:rsid w:val="00F647D4"/>
    <w:rsid w:val="00F66480"/>
    <w:rsid w:val="00F679F2"/>
    <w:rsid w:val="00F70A56"/>
    <w:rsid w:val="00F717BD"/>
    <w:rsid w:val="00F71C6C"/>
    <w:rsid w:val="00F7208F"/>
    <w:rsid w:val="00F726CC"/>
    <w:rsid w:val="00F7284A"/>
    <w:rsid w:val="00F72D04"/>
    <w:rsid w:val="00F741FA"/>
    <w:rsid w:val="00F74CD3"/>
    <w:rsid w:val="00F7548B"/>
    <w:rsid w:val="00F76DE6"/>
    <w:rsid w:val="00F8177E"/>
    <w:rsid w:val="00F81B20"/>
    <w:rsid w:val="00F81CAE"/>
    <w:rsid w:val="00F855D6"/>
    <w:rsid w:val="00F85CB6"/>
    <w:rsid w:val="00F90865"/>
    <w:rsid w:val="00F92003"/>
    <w:rsid w:val="00F93641"/>
    <w:rsid w:val="00F93F1A"/>
    <w:rsid w:val="00F95B8D"/>
    <w:rsid w:val="00F95F85"/>
    <w:rsid w:val="00FA0A83"/>
    <w:rsid w:val="00FA1765"/>
    <w:rsid w:val="00FA3247"/>
    <w:rsid w:val="00FA3802"/>
    <w:rsid w:val="00FA60B9"/>
    <w:rsid w:val="00FB0A98"/>
    <w:rsid w:val="00FB57FE"/>
    <w:rsid w:val="00FB7ABA"/>
    <w:rsid w:val="00FD577B"/>
    <w:rsid w:val="00FD7941"/>
    <w:rsid w:val="00FD7F48"/>
    <w:rsid w:val="00FE01B5"/>
    <w:rsid w:val="00FE33A9"/>
    <w:rsid w:val="00FE68D0"/>
    <w:rsid w:val="00FF0D29"/>
    <w:rsid w:val="00FF2A02"/>
    <w:rsid w:val="00FF3CC8"/>
    <w:rsid w:val="00FF3F1A"/>
    <w:rsid w:val="00FF514E"/>
    <w:rsid w:val="00FF59DF"/>
    <w:rsid w:val="0106094F"/>
    <w:rsid w:val="010B6520"/>
    <w:rsid w:val="010F7A93"/>
    <w:rsid w:val="011610F9"/>
    <w:rsid w:val="011848AD"/>
    <w:rsid w:val="01196F81"/>
    <w:rsid w:val="011E607C"/>
    <w:rsid w:val="014041EC"/>
    <w:rsid w:val="014257E4"/>
    <w:rsid w:val="01505E0E"/>
    <w:rsid w:val="015D68BC"/>
    <w:rsid w:val="016A4018"/>
    <w:rsid w:val="0172350C"/>
    <w:rsid w:val="01871159"/>
    <w:rsid w:val="018F562F"/>
    <w:rsid w:val="01A66944"/>
    <w:rsid w:val="01AD6063"/>
    <w:rsid w:val="01AD73AA"/>
    <w:rsid w:val="01B31738"/>
    <w:rsid w:val="01B46FDC"/>
    <w:rsid w:val="01BB3F08"/>
    <w:rsid w:val="01BC42AC"/>
    <w:rsid w:val="01BE5128"/>
    <w:rsid w:val="01C7130B"/>
    <w:rsid w:val="01D220AF"/>
    <w:rsid w:val="01DA3B85"/>
    <w:rsid w:val="01E152F2"/>
    <w:rsid w:val="01F66F29"/>
    <w:rsid w:val="0207582E"/>
    <w:rsid w:val="02087C16"/>
    <w:rsid w:val="020A2A03"/>
    <w:rsid w:val="020B2730"/>
    <w:rsid w:val="02252FDC"/>
    <w:rsid w:val="023316F3"/>
    <w:rsid w:val="024E7D49"/>
    <w:rsid w:val="025A5D1B"/>
    <w:rsid w:val="02600CE7"/>
    <w:rsid w:val="02705F30"/>
    <w:rsid w:val="02711BF5"/>
    <w:rsid w:val="027439E4"/>
    <w:rsid w:val="028777A5"/>
    <w:rsid w:val="02885462"/>
    <w:rsid w:val="02912CC3"/>
    <w:rsid w:val="02937B0F"/>
    <w:rsid w:val="02AB2F9A"/>
    <w:rsid w:val="02B26C02"/>
    <w:rsid w:val="02B90A64"/>
    <w:rsid w:val="02B94B27"/>
    <w:rsid w:val="02BE5CDA"/>
    <w:rsid w:val="02C01CBD"/>
    <w:rsid w:val="02DD2687"/>
    <w:rsid w:val="02F70EE2"/>
    <w:rsid w:val="02FD6EEA"/>
    <w:rsid w:val="03062167"/>
    <w:rsid w:val="03063EDC"/>
    <w:rsid w:val="03116FBA"/>
    <w:rsid w:val="0329210E"/>
    <w:rsid w:val="033A5ABC"/>
    <w:rsid w:val="033E04D0"/>
    <w:rsid w:val="0359073E"/>
    <w:rsid w:val="035B2040"/>
    <w:rsid w:val="036348FC"/>
    <w:rsid w:val="0364282E"/>
    <w:rsid w:val="036E541C"/>
    <w:rsid w:val="037114C4"/>
    <w:rsid w:val="037847F9"/>
    <w:rsid w:val="037A04FD"/>
    <w:rsid w:val="038C5BA8"/>
    <w:rsid w:val="0399358B"/>
    <w:rsid w:val="03A22A65"/>
    <w:rsid w:val="03A8216E"/>
    <w:rsid w:val="03C020B4"/>
    <w:rsid w:val="03C50DF5"/>
    <w:rsid w:val="03CE1757"/>
    <w:rsid w:val="03D16A10"/>
    <w:rsid w:val="03D41680"/>
    <w:rsid w:val="03D91054"/>
    <w:rsid w:val="03ED3B1A"/>
    <w:rsid w:val="040540F0"/>
    <w:rsid w:val="040642CF"/>
    <w:rsid w:val="040972E6"/>
    <w:rsid w:val="040C1CA2"/>
    <w:rsid w:val="041466C1"/>
    <w:rsid w:val="041B4F1C"/>
    <w:rsid w:val="04226D6A"/>
    <w:rsid w:val="043509FA"/>
    <w:rsid w:val="04355838"/>
    <w:rsid w:val="04395D28"/>
    <w:rsid w:val="044C72BE"/>
    <w:rsid w:val="0471621A"/>
    <w:rsid w:val="047D56F6"/>
    <w:rsid w:val="047F41A6"/>
    <w:rsid w:val="04952075"/>
    <w:rsid w:val="049D4140"/>
    <w:rsid w:val="049F62FE"/>
    <w:rsid w:val="04B129FB"/>
    <w:rsid w:val="04B15C25"/>
    <w:rsid w:val="04B25A3C"/>
    <w:rsid w:val="04CE36E2"/>
    <w:rsid w:val="04D05C1D"/>
    <w:rsid w:val="04DD2341"/>
    <w:rsid w:val="04DE5170"/>
    <w:rsid w:val="04EE280F"/>
    <w:rsid w:val="05087D6A"/>
    <w:rsid w:val="0509256A"/>
    <w:rsid w:val="051955CB"/>
    <w:rsid w:val="051B7D23"/>
    <w:rsid w:val="052112E4"/>
    <w:rsid w:val="053012D7"/>
    <w:rsid w:val="054044B9"/>
    <w:rsid w:val="05480AB5"/>
    <w:rsid w:val="055719A3"/>
    <w:rsid w:val="055878C2"/>
    <w:rsid w:val="055E3F89"/>
    <w:rsid w:val="0567403D"/>
    <w:rsid w:val="05743251"/>
    <w:rsid w:val="057F1392"/>
    <w:rsid w:val="058E705C"/>
    <w:rsid w:val="05B56EB7"/>
    <w:rsid w:val="05BC1004"/>
    <w:rsid w:val="05BD1619"/>
    <w:rsid w:val="05D22DC6"/>
    <w:rsid w:val="05D6339D"/>
    <w:rsid w:val="05D8777F"/>
    <w:rsid w:val="05EF4759"/>
    <w:rsid w:val="060F39EB"/>
    <w:rsid w:val="06154AD8"/>
    <w:rsid w:val="06292D60"/>
    <w:rsid w:val="062A2418"/>
    <w:rsid w:val="06412810"/>
    <w:rsid w:val="06465D56"/>
    <w:rsid w:val="06482CE2"/>
    <w:rsid w:val="06533D0C"/>
    <w:rsid w:val="065417F2"/>
    <w:rsid w:val="06667B77"/>
    <w:rsid w:val="0672658D"/>
    <w:rsid w:val="06771E21"/>
    <w:rsid w:val="06852C98"/>
    <w:rsid w:val="068724DD"/>
    <w:rsid w:val="069B1EB1"/>
    <w:rsid w:val="069E6C28"/>
    <w:rsid w:val="06A573FA"/>
    <w:rsid w:val="06B70BB8"/>
    <w:rsid w:val="06B933EB"/>
    <w:rsid w:val="06C45819"/>
    <w:rsid w:val="06C72026"/>
    <w:rsid w:val="06DC0699"/>
    <w:rsid w:val="06DF623B"/>
    <w:rsid w:val="06F62A94"/>
    <w:rsid w:val="06F76970"/>
    <w:rsid w:val="070F3A19"/>
    <w:rsid w:val="07113CD7"/>
    <w:rsid w:val="072001A7"/>
    <w:rsid w:val="072141AC"/>
    <w:rsid w:val="0733386A"/>
    <w:rsid w:val="073C077C"/>
    <w:rsid w:val="07414DAE"/>
    <w:rsid w:val="07437588"/>
    <w:rsid w:val="074D30CE"/>
    <w:rsid w:val="0755644F"/>
    <w:rsid w:val="07885687"/>
    <w:rsid w:val="07A94B40"/>
    <w:rsid w:val="07AF58B0"/>
    <w:rsid w:val="07C35AE0"/>
    <w:rsid w:val="07D32A8A"/>
    <w:rsid w:val="07FC315E"/>
    <w:rsid w:val="08150822"/>
    <w:rsid w:val="08277D03"/>
    <w:rsid w:val="08355D8E"/>
    <w:rsid w:val="08367FBA"/>
    <w:rsid w:val="08380519"/>
    <w:rsid w:val="08382139"/>
    <w:rsid w:val="083A2D5F"/>
    <w:rsid w:val="083A4312"/>
    <w:rsid w:val="083F5BAF"/>
    <w:rsid w:val="0844101C"/>
    <w:rsid w:val="084839DC"/>
    <w:rsid w:val="085F5A4B"/>
    <w:rsid w:val="08611366"/>
    <w:rsid w:val="08650391"/>
    <w:rsid w:val="08660962"/>
    <w:rsid w:val="086B35B2"/>
    <w:rsid w:val="08784DDA"/>
    <w:rsid w:val="087B0266"/>
    <w:rsid w:val="087F132E"/>
    <w:rsid w:val="08AE0543"/>
    <w:rsid w:val="08B62A5B"/>
    <w:rsid w:val="08BB03D6"/>
    <w:rsid w:val="08BB498B"/>
    <w:rsid w:val="08C50FF8"/>
    <w:rsid w:val="08C9127B"/>
    <w:rsid w:val="08C93DC4"/>
    <w:rsid w:val="08CE2928"/>
    <w:rsid w:val="08D60C1D"/>
    <w:rsid w:val="08DF470F"/>
    <w:rsid w:val="08E421B6"/>
    <w:rsid w:val="08FC40B7"/>
    <w:rsid w:val="090561E3"/>
    <w:rsid w:val="091A4A15"/>
    <w:rsid w:val="091C1E66"/>
    <w:rsid w:val="091E18B8"/>
    <w:rsid w:val="092A24C7"/>
    <w:rsid w:val="0937487C"/>
    <w:rsid w:val="094904CF"/>
    <w:rsid w:val="094F4B10"/>
    <w:rsid w:val="095525A4"/>
    <w:rsid w:val="0968545C"/>
    <w:rsid w:val="096D44E0"/>
    <w:rsid w:val="09717155"/>
    <w:rsid w:val="097C4E61"/>
    <w:rsid w:val="09826A58"/>
    <w:rsid w:val="09832AE6"/>
    <w:rsid w:val="099E411A"/>
    <w:rsid w:val="09AD6911"/>
    <w:rsid w:val="09C06422"/>
    <w:rsid w:val="09C323A5"/>
    <w:rsid w:val="09CE55B8"/>
    <w:rsid w:val="09D26061"/>
    <w:rsid w:val="09D90382"/>
    <w:rsid w:val="09DE07D2"/>
    <w:rsid w:val="09DF31C9"/>
    <w:rsid w:val="09E02CB1"/>
    <w:rsid w:val="09E4523E"/>
    <w:rsid w:val="09E7384B"/>
    <w:rsid w:val="09EB6459"/>
    <w:rsid w:val="0A0149F7"/>
    <w:rsid w:val="0A046549"/>
    <w:rsid w:val="0A0D4EF4"/>
    <w:rsid w:val="0A122FF5"/>
    <w:rsid w:val="0A2D2B3F"/>
    <w:rsid w:val="0A326D02"/>
    <w:rsid w:val="0A3A0580"/>
    <w:rsid w:val="0A474359"/>
    <w:rsid w:val="0A4C0930"/>
    <w:rsid w:val="0A4E7BF4"/>
    <w:rsid w:val="0A5A6A58"/>
    <w:rsid w:val="0A6B333C"/>
    <w:rsid w:val="0A774C46"/>
    <w:rsid w:val="0A791787"/>
    <w:rsid w:val="0A7B3821"/>
    <w:rsid w:val="0A7E2BD0"/>
    <w:rsid w:val="0A81154C"/>
    <w:rsid w:val="0A861519"/>
    <w:rsid w:val="0A9C2F6E"/>
    <w:rsid w:val="0ABF6DFF"/>
    <w:rsid w:val="0AD84321"/>
    <w:rsid w:val="0AE56822"/>
    <w:rsid w:val="0AF35AAF"/>
    <w:rsid w:val="0AF92224"/>
    <w:rsid w:val="0AFC3D75"/>
    <w:rsid w:val="0AFE4A39"/>
    <w:rsid w:val="0AFF7619"/>
    <w:rsid w:val="0B0B0DE0"/>
    <w:rsid w:val="0B0D324D"/>
    <w:rsid w:val="0B0F07F5"/>
    <w:rsid w:val="0B115C27"/>
    <w:rsid w:val="0B1941B7"/>
    <w:rsid w:val="0B2D0ED6"/>
    <w:rsid w:val="0B2D6740"/>
    <w:rsid w:val="0B36195D"/>
    <w:rsid w:val="0B4B6D22"/>
    <w:rsid w:val="0B4D3017"/>
    <w:rsid w:val="0B613D7A"/>
    <w:rsid w:val="0B623516"/>
    <w:rsid w:val="0B750658"/>
    <w:rsid w:val="0B783D2A"/>
    <w:rsid w:val="0B7862C6"/>
    <w:rsid w:val="0B834B8A"/>
    <w:rsid w:val="0B8654E1"/>
    <w:rsid w:val="0B964799"/>
    <w:rsid w:val="0BA574B0"/>
    <w:rsid w:val="0BAF07F3"/>
    <w:rsid w:val="0BB6308F"/>
    <w:rsid w:val="0BC25B0C"/>
    <w:rsid w:val="0BC44DA6"/>
    <w:rsid w:val="0BCB2065"/>
    <w:rsid w:val="0BCF68EC"/>
    <w:rsid w:val="0BD6482B"/>
    <w:rsid w:val="0BDA3D95"/>
    <w:rsid w:val="0BE41944"/>
    <w:rsid w:val="0BEC0565"/>
    <w:rsid w:val="0BEC728B"/>
    <w:rsid w:val="0BF3730C"/>
    <w:rsid w:val="0C1B110F"/>
    <w:rsid w:val="0C1C5305"/>
    <w:rsid w:val="0C223BD9"/>
    <w:rsid w:val="0C2254F8"/>
    <w:rsid w:val="0C3728DD"/>
    <w:rsid w:val="0C374B05"/>
    <w:rsid w:val="0C4E54C3"/>
    <w:rsid w:val="0C5211CD"/>
    <w:rsid w:val="0C696E03"/>
    <w:rsid w:val="0C7724E4"/>
    <w:rsid w:val="0C7E3E74"/>
    <w:rsid w:val="0C80788F"/>
    <w:rsid w:val="0C8F7A1B"/>
    <w:rsid w:val="0C913333"/>
    <w:rsid w:val="0C91698D"/>
    <w:rsid w:val="0CA83C61"/>
    <w:rsid w:val="0CA90A21"/>
    <w:rsid w:val="0CAD7091"/>
    <w:rsid w:val="0CAF32DD"/>
    <w:rsid w:val="0CAF4016"/>
    <w:rsid w:val="0CB30F1B"/>
    <w:rsid w:val="0CB853FE"/>
    <w:rsid w:val="0CC2048C"/>
    <w:rsid w:val="0CC81963"/>
    <w:rsid w:val="0CD56982"/>
    <w:rsid w:val="0CE358B1"/>
    <w:rsid w:val="0CEA756D"/>
    <w:rsid w:val="0CF83D49"/>
    <w:rsid w:val="0D0071DB"/>
    <w:rsid w:val="0D0333C6"/>
    <w:rsid w:val="0D131DE8"/>
    <w:rsid w:val="0D133B23"/>
    <w:rsid w:val="0D410B2B"/>
    <w:rsid w:val="0D485FA3"/>
    <w:rsid w:val="0D550241"/>
    <w:rsid w:val="0D5A451E"/>
    <w:rsid w:val="0D700226"/>
    <w:rsid w:val="0D795EEE"/>
    <w:rsid w:val="0D7D3F9C"/>
    <w:rsid w:val="0D955B9A"/>
    <w:rsid w:val="0D971F49"/>
    <w:rsid w:val="0D9D63CD"/>
    <w:rsid w:val="0DA21281"/>
    <w:rsid w:val="0DA26899"/>
    <w:rsid w:val="0DAD5BD5"/>
    <w:rsid w:val="0DBC0433"/>
    <w:rsid w:val="0DC26804"/>
    <w:rsid w:val="0DC669B4"/>
    <w:rsid w:val="0DD00B0A"/>
    <w:rsid w:val="0DD55BCF"/>
    <w:rsid w:val="0DDB345C"/>
    <w:rsid w:val="0DE85F6B"/>
    <w:rsid w:val="0DFE43EE"/>
    <w:rsid w:val="0E0079D3"/>
    <w:rsid w:val="0E027FAA"/>
    <w:rsid w:val="0E060238"/>
    <w:rsid w:val="0E190A57"/>
    <w:rsid w:val="0E1941D4"/>
    <w:rsid w:val="0E1C3EEB"/>
    <w:rsid w:val="0E1E7B7C"/>
    <w:rsid w:val="0E2502C9"/>
    <w:rsid w:val="0E381B6C"/>
    <w:rsid w:val="0E382066"/>
    <w:rsid w:val="0E535C2B"/>
    <w:rsid w:val="0E624B82"/>
    <w:rsid w:val="0E645DCB"/>
    <w:rsid w:val="0E6E4BDC"/>
    <w:rsid w:val="0E830CFE"/>
    <w:rsid w:val="0E96093C"/>
    <w:rsid w:val="0E9B38E6"/>
    <w:rsid w:val="0EA61335"/>
    <w:rsid w:val="0EB57F55"/>
    <w:rsid w:val="0EC544AC"/>
    <w:rsid w:val="0ECA0054"/>
    <w:rsid w:val="0ED3424B"/>
    <w:rsid w:val="0ED471CA"/>
    <w:rsid w:val="0EE75B4A"/>
    <w:rsid w:val="0EF27DAA"/>
    <w:rsid w:val="0F071CC1"/>
    <w:rsid w:val="0F16096A"/>
    <w:rsid w:val="0F1A1E7B"/>
    <w:rsid w:val="0F1E0EC4"/>
    <w:rsid w:val="0F203235"/>
    <w:rsid w:val="0F404A5D"/>
    <w:rsid w:val="0F47341E"/>
    <w:rsid w:val="0F4A1849"/>
    <w:rsid w:val="0F4B43DC"/>
    <w:rsid w:val="0F4E223C"/>
    <w:rsid w:val="0F4F280C"/>
    <w:rsid w:val="0F53236D"/>
    <w:rsid w:val="0F5B03CB"/>
    <w:rsid w:val="0F6050C6"/>
    <w:rsid w:val="0F7130E9"/>
    <w:rsid w:val="0F74640D"/>
    <w:rsid w:val="0F7E58CF"/>
    <w:rsid w:val="0F851A01"/>
    <w:rsid w:val="0F932899"/>
    <w:rsid w:val="0F960A15"/>
    <w:rsid w:val="0FA36F1E"/>
    <w:rsid w:val="0FBA4A3B"/>
    <w:rsid w:val="0FC51F62"/>
    <w:rsid w:val="0FCD3522"/>
    <w:rsid w:val="0FCF6080"/>
    <w:rsid w:val="0FCF6FE9"/>
    <w:rsid w:val="0FDD3834"/>
    <w:rsid w:val="0FE1474E"/>
    <w:rsid w:val="0FE365E2"/>
    <w:rsid w:val="0FEC01E1"/>
    <w:rsid w:val="1012269D"/>
    <w:rsid w:val="10133520"/>
    <w:rsid w:val="101C7B71"/>
    <w:rsid w:val="10212508"/>
    <w:rsid w:val="10286391"/>
    <w:rsid w:val="102A10EA"/>
    <w:rsid w:val="10311DAA"/>
    <w:rsid w:val="1038553A"/>
    <w:rsid w:val="10487702"/>
    <w:rsid w:val="10680FBE"/>
    <w:rsid w:val="106F1888"/>
    <w:rsid w:val="10703E62"/>
    <w:rsid w:val="10742C19"/>
    <w:rsid w:val="10764EA6"/>
    <w:rsid w:val="107A1E7A"/>
    <w:rsid w:val="10807CC3"/>
    <w:rsid w:val="108A64EE"/>
    <w:rsid w:val="109B5E14"/>
    <w:rsid w:val="10B36B7F"/>
    <w:rsid w:val="10BC3AEF"/>
    <w:rsid w:val="10CD3ABB"/>
    <w:rsid w:val="10E43524"/>
    <w:rsid w:val="10E74944"/>
    <w:rsid w:val="10F47303"/>
    <w:rsid w:val="112027F8"/>
    <w:rsid w:val="112545B4"/>
    <w:rsid w:val="1125734B"/>
    <w:rsid w:val="112A3965"/>
    <w:rsid w:val="1138741F"/>
    <w:rsid w:val="113B5DD7"/>
    <w:rsid w:val="1147455B"/>
    <w:rsid w:val="115D343B"/>
    <w:rsid w:val="11664EE7"/>
    <w:rsid w:val="116716F8"/>
    <w:rsid w:val="11683AE7"/>
    <w:rsid w:val="116B16D9"/>
    <w:rsid w:val="1172113E"/>
    <w:rsid w:val="11862529"/>
    <w:rsid w:val="11900D0D"/>
    <w:rsid w:val="11930B18"/>
    <w:rsid w:val="11946686"/>
    <w:rsid w:val="119E4A4A"/>
    <w:rsid w:val="119F34D3"/>
    <w:rsid w:val="11AF2858"/>
    <w:rsid w:val="11BD532F"/>
    <w:rsid w:val="11C62DBB"/>
    <w:rsid w:val="11CF6FE1"/>
    <w:rsid w:val="11D541AC"/>
    <w:rsid w:val="11D707BE"/>
    <w:rsid w:val="11D755DF"/>
    <w:rsid w:val="11EA7992"/>
    <w:rsid w:val="11FA0BDC"/>
    <w:rsid w:val="11FB5943"/>
    <w:rsid w:val="12004173"/>
    <w:rsid w:val="12041E43"/>
    <w:rsid w:val="120C027A"/>
    <w:rsid w:val="120E5673"/>
    <w:rsid w:val="12190917"/>
    <w:rsid w:val="12216661"/>
    <w:rsid w:val="12296EC8"/>
    <w:rsid w:val="12314ECC"/>
    <w:rsid w:val="12316033"/>
    <w:rsid w:val="1238760E"/>
    <w:rsid w:val="123C7CBD"/>
    <w:rsid w:val="123D4B4B"/>
    <w:rsid w:val="123E2977"/>
    <w:rsid w:val="123E4FD8"/>
    <w:rsid w:val="125E2C18"/>
    <w:rsid w:val="126B4FF2"/>
    <w:rsid w:val="126D69A2"/>
    <w:rsid w:val="12727CA7"/>
    <w:rsid w:val="12770379"/>
    <w:rsid w:val="12790947"/>
    <w:rsid w:val="127E26CB"/>
    <w:rsid w:val="127E2B08"/>
    <w:rsid w:val="128930FF"/>
    <w:rsid w:val="12957BFD"/>
    <w:rsid w:val="12A103FB"/>
    <w:rsid w:val="12AF2AB0"/>
    <w:rsid w:val="12BC579D"/>
    <w:rsid w:val="12E112BB"/>
    <w:rsid w:val="12E516F5"/>
    <w:rsid w:val="13044D99"/>
    <w:rsid w:val="131C15CD"/>
    <w:rsid w:val="132750B4"/>
    <w:rsid w:val="133978CE"/>
    <w:rsid w:val="133F4B2E"/>
    <w:rsid w:val="134375A5"/>
    <w:rsid w:val="13496E82"/>
    <w:rsid w:val="134A3BB5"/>
    <w:rsid w:val="13580BF5"/>
    <w:rsid w:val="135973BC"/>
    <w:rsid w:val="135A7F4A"/>
    <w:rsid w:val="135B7CEE"/>
    <w:rsid w:val="135D0A64"/>
    <w:rsid w:val="13680989"/>
    <w:rsid w:val="137F40E4"/>
    <w:rsid w:val="1387576D"/>
    <w:rsid w:val="1388111E"/>
    <w:rsid w:val="13957E57"/>
    <w:rsid w:val="13AE45EE"/>
    <w:rsid w:val="13B94351"/>
    <w:rsid w:val="13C56A08"/>
    <w:rsid w:val="13C7551C"/>
    <w:rsid w:val="13D90205"/>
    <w:rsid w:val="13D93F8C"/>
    <w:rsid w:val="13DC4F53"/>
    <w:rsid w:val="13EC4853"/>
    <w:rsid w:val="13F06730"/>
    <w:rsid w:val="13FE3CA5"/>
    <w:rsid w:val="14174896"/>
    <w:rsid w:val="141B759C"/>
    <w:rsid w:val="142D0B61"/>
    <w:rsid w:val="142E4236"/>
    <w:rsid w:val="143013BE"/>
    <w:rsid w:val="1445743D"/>
    <w:rsid w:val="145123C9"/>
    <w:rsid w:val="14523BF3"/>
    <w:rsid w:val="14572C0C"/>
    <w:rsid w:val="14600BF0"/>
    <w:rsid w:val="146A2894"/>
    <w:rsid w:val="14714610"/>
    <w:rsid w:val="14793341"/>
    <w:rsid w:val="14796975"/>
    <w:rsid w:val="14807101"/>
    <w:rsid w:val="149E5DEA"/>
    <w:rsid w:val="14C6073B"/>
    <w:rsid w:val="14D926FC"/>
    <w:rsid w:val="14DE1293"/>
    <w:rsid w:val="14E22D3E"/>
    <w:rsid w:val="14FE5182"/>
    <w:rsid w:val="15075976"/>
    <w:rsid w:val="15116147"/>
    <w:rsid w:val="15176FF5"/>
    <w:rsid w:val="151809F0"/>
    <w:rsid w:val="151E2D66"/>
    <w:rsid w:val="15333F63"/>
    <w:rsid w:val="15401134"/>
    <w:rsid w:val="15465C3E"/>
    <w:rsid w:val="155F47AE"/>
    <w:rsid w:val="15625222"/>
    <w:rsid w:val="15684561"/>
    <w:rsid w:val="15795ADC"/>
    <w:rsid w:val="158433BF"/>
    <w:rsid w:val="1594189C"/>
    <w:rsid w:val="15975B80"/>
    <w:rsid w:val="15A11A72"/>
    <w:rsid w:val="15A37407"/>
    <w:rsid w:val="15AF79F0"/>
    <w:rsid w:val="15BB74BC"/>
    <w:rsid w:val="15C7369C"/>
    <w:rsid w:val="15C87C92"/>
    <w:rsid w:val="15CA2967"/>
    <w:rsid w:val="15D626C0"/>
    <w:rsid w:val="15D8506F"/>
    <w:rsid w:val="15D91C43"/>
    <w:rsid w:val="15D94D6D"/>
    <w:rsid w:val="15DF0CF3"/>
    <w:rsid w:val="15EB76BA"/>
    <w:rsid w:val="15EC4007"/>
    <w:rsid w:val="15F8728C"/>
    <w:rsid w:val="15F97AA3"/>
    <w:rsid w:val="15FD1797"/>
    <w:rsid w:val="16091895"/>
    <w:rsid w:val="160B5204"/>
    <w:rsid w:val="160D7947"/>
    <w:rsid w:val="161452AD"/>
    <w:rsid w:val="16152DA7"/>
    <w:rsid w:val="161D2D77"/>
    <w:rsid w:val="1637313F"/>
    <w:rsid w:val="163C0061"/>
    <w:rsid w:val="16506EE3"/>
    <w:rsid w:val="16552013"/>
    <w:rsid w:val="1656141B"/>
    <w:rsid w:val="1679225E"/>
    <w:rsid w:val="167D10CB"/>
    <w:rsid w:val="167F2009"/>
    <w:rsid w:val="168A4C34"/>
    <w:rsid w:val="16912DDC"/>
    <w:rsid w:val="1692133E"/>
    <w:rsid w:val="16987459"/>
    <w:rsid w:val="16B1019E"/>
    <w:rsid w:val="16B87E1A"/>
    <w:rsid w:val="16BE72F8"/>
    <w:rsid w:val="16C1013E"/>
    <w:rsid w:val="16DF7F84"/>
    <w:rsid w:val="16F1185F"/>
    <w:rsid w:val="16F60A87"/>
    <w:rsid w:val="17186375"/>
    <w:rsid w:val="171D1574"/>
    <w:rsid w:val="1723404E"/>
    <w:rsid w:val="1724545E"/>
    <w:rsid w:val="17352439"/>
    <w:rsid w:val="173E04B2"/>
    <w:rsid w:val="174074EE"/>
    <w:rsid w:val="1743314C"/>
    <w:rsid w:val="17482459"/>
    <w:rsid w:val="17542FA9"/>
    <w:rsid w:val="17545DBF"/>
    <w:rsid w:val="17575964"/>
    <w:rsid w:val="17582D97"/>
    <w:rsid w:val="17643119"/>
    <w:rsid w:val="17644832"/>
    <w:rsid w:val="176903E0"/>
    <w:rsid w:val="17724CDB"/>
    <w:rsid w:val="177D02D1"/>
    <w:rsid w:val="17833E31"/>
    <w:rsid w:val="17891B04"/>
    <w:rsid w:val="17921473"/>
    <w:rsid w:val="17944355"/>
    <w:rsid w:val="17A7599C"/>
    <w:rsid w:val="17CE05B6"/>
    <w:rsid w:val="17CF1FEC"/>
    <w:rsid w:val="17D1652A"/>
    <w:rsid w:val="17DA0915"/>
    <w:rsid w:val="17E40ACE"/>
    <w:rsid w:val="17EB7835"/>
    <w:rsid w:val="17FB49B6"/>
    <w:rsid w:val="17FC35E4"/>
    <w:rsid w:val="180F3781"/>
    <w:rsid w:val="181319BD"/>
    <w:rsid w:val="181707FC"/>
    <w:rsid w:val="181B4AA6"/>
    <w:rsid w:val="181D082F"/>
    <w:rsid w:val="181E46E9"/>
    <w:rsid w:val="1825451B"/>
    <w:rsid w:val="18276B44"/>
    <w:rsid w:val="182B7E38"/>
    <w:rsid w:val="182C5BE8"/>
    <w:rsid w:val="183A6075"/>
    <w:rsid w:val="183B5899"/>
    <w:rsid w:val="183F0BB5"/>
    <w:rsid w:val="18406F0D"/>
    <w:rsid w:val="1842207F"/>
    <w:rsid w:val="18550F89"/>
    <w:rsid w:val="185F69F5"/>
    <w:rsid w:val="18614758"/>
    <w:rsid w:val="18621216"/>
    <w:rsid w:val="18624E9C"/>
    <w:rsid w:val="186369FA"/>
    <w:rsid w:val="18652513"/>
    <w:rsid w:val="186749F7"/>
    <w:rsid w:val="18694B78"/>
    <w:rsid w:val="18824762"/>
    <w:rsid w:val="189276B0"/>
    <w:rsid w:val="18961DEC"/>
    <w:rsid w:val="18A674EC"/>
    <w:rsid w:val="18C65CF6"/>
    <w:rsid w:val="18C775AE"/>
    <w:rsid w:val="18C80031"/>
    <w:rsid w:val="18C8486F"/>
    <w:rsid w:val="18D55FEF"/>
    <w:rsid w:val="18DC4BB4"/>
    <w:rsid w:val="18E43A0F"/>
    <w:rsid w:val="18ED25E4"/>
    <w:rsid w:val="18F25705"/>
    <w:rsid w:val="18F66BC3"/>
    <w:rsid w:val="18F97631"/>
    <w:rsid w:val="190077F4"/>
    <w:rsid w:val="191331F8"/>
    <w:rsid w:val="191E0C0D"/>
    <w:rsid w:val="19345247"/>
    <w:rsid w:val="193A7806"/>
    <w:rsid w:val="19557D5B"/>
    <w:rsid w:val="195911CE"/>
    <w:rsid w:val="195C3D07"/>
    <w:rsid w:val="19626360"/>
    <w:rsid w:val="196355C4"/>
    <w:rsid w:val="19695173"/>
    <w:rsid w:val="19710ECF"/>
    <w:rsid w:val="19813FA3"/>
    <w:rsid w:val="198B7DB3"/>
    <w:rsid w:val="199B182F"/>
    <w:rsid w:val="199B2BFF"/>
    <w:rsid w:val="199E3D5F"/>
    <w:rsid w:val="19AC4ED1"/>
    <w:rsid w:val="19AF6DEC"/>
    <w:rsid w:val="19D07E00"/>
    <w:rsid w:val="19DE1B44"/>
    <w:rsid w:val="19E01AD3"/>
    <w:rsid w:val="19E2218C"/>
    <w:rsid w:val="19EF3997"/>
    <w:rsid w:val="19F43585"/>
    <w:rsid w:val="19FA4850"/>
    <w:rsid w:val="1A015697"/>
    <w:rsid w:val="1A177CB8"/>
    <w:rsid w:val="1A18021D"/>
    <w:rsid w:val="1A33143C"/>
    <w:rsid w:val="1A501901"/>
    <w:rsid w:val="1A671C7B"/>
    <w:rsid w:val="1A854CFC"/>
    <w:rsid w:val="1A856D90"/>
    <w:rsid w:val="1A8C4963"/>
    <w:rsid w:val="1A937147"/>
    <w:rsid w:val="1A992565"/>
    <w:rsid w:val="1AA56CB7"/>
    <w:rsid w:val="1AB474EA"/>
    <w:rsid w:val="1ACB11CE"/>
    <w:rsid w:val="1ACB1BBA"/>
    <w:rsid w:val="1AD570EE"/>
    <w:rsid w:val="1AF51C48"/>
    <w:rsid w:val="1AF851FC"/>
    <w:rsid w:val="1AF9037E"/>
    <w:rsid w:val="1AFB2EDD"/>
    <w:rsid w:val="1B035D37"/>
    <w:rsid w:val="1B0818C3"/>
    <w:rsid w:val="1B2039B9"/>
    <w:rsid w:val="1B242C23"/>
    <w:rsid w:val="1B463D25"/>
    <w:rsid w:val="1B4902E2"/>
    <w:rsid w:val="1B540F37"/>
    <w:rsid w:val="1B611853"/>
    <w:rsid w:val="1B6D5E64"/>
    <w:rsid w:val="1B754D28"/>
    <w:rsid w:val="1B807D0F"/>
    <w:rsid w:val="1B855AE8"/>
    <w:rsid w:val="1B8672E9"/>
    <w:rsid w:val="1BAE76EF"/>
    <w:rsid w:val="1BB748BC"/>
    <w:rsid w:val="1BBE4355"/>
    <w:rsid w:val="1BC853AD"/>
    <w:rsid w:val="1BD4565B"/>
    <w:rsid w:val="1BEC5A16"/>
    <w:rsid w:val="1BFB4916"/>
    <w:rsid w:val="1BFF7AA8"/>
    <w:rsid w:val="1C1067BF"/>
    <w:rsid w:val="1C137825"/>
    <w:rsid w:val="1C256874"/>
    <w:rsid w:val="1C3339FE"/>
    <w:rsid w:val="1C5C4B34"/>
    <w:rsid w:val="1C5D4DEE"/>
    <w:rsid w:val="1C5E5875"/>
    <w:rsid w:val="1C6419A8"/>
    <w:rsid w:val="1C6D652F"/>
    <w:rsid w:val="1C791F4D"/>
    <w:rsid w:val="1C856F8A"/>
    <w:rsid w:val="1C9046DA"/>
    <w:rsid w:val="1C975002"/>
    <w:rsid w:val="1CA1463B"/>
    <w:rsid w:val="1CB110D7"/>
    <w:rsid w:val="1CB767EC"/>
    <w:rsid w:val="1CC82BD1"/>
    <w:rsid w:val="1CD45A87"/>
    <w:rsid w:val="1CD46B6D"/>
    <w:rsid w:val="1CD83A87"/>
    <w:rsid w:val="1CD958F1"/>
    <w:rsid w:val="1CF172F4"/>
    <w:rsid w:val="1D1F5719"/>
    <w:rsid w:val="1D2267DD"/>
    <w:rsid w:val="1D326036"/>
    <w:rsid w:val="1D357E68"/>
    <w:rsid w:val="1D360F2F"/>
    <w:rsid w:val="1D39600A"/>
    <w:rsid w:val="1D5A3481"/>
    <w:rsid w:val="1D5D6726"/>
    <w:rsid w:val="1D66386F"/>
    <w:rsid w:val="1D6F55CE"/>
    <w:rsid w:val="1D7408BC"/>
    <w:rsid w:val="1D970A38"/>
    <w:rsid w:val="1DA82CB7"/>
    <w:rsid w:val="1DB464C5"/>
    <w:rsid w:val="1DCF5231"/>
    <w:rsid w:val="1DD52788"/>
    <w:rsid w:val="1DD91B71"/>
    <w:rsid w:val="1DDB2039"/>
    <w:rsid w:val="1DE74241"/>
    <w:rsid w:val="1DFF61AA"/>
    <w:rsid w:val="1E08784B"/>
    <w:rsid w:val="1E0F5C69"/>
    <w:rsid w:val="1E317CF5"/>
    <w:rsid w:val="1E323F75"/>
    <w:rsid w:val="1E54375F"/>
    <w:rsid w:val="1E735C1F"/>
    <w:rsid w:val="1E84478D"/>
    <w:rsid w:val="1E9D26C5"/>
    <w:rsid w:val="1EA023A7"/>
    <w:rsid w:val="1EB066F7"/>
    <w:rsid w:val="1EB11D18"/>
    <w:rsid w:val="1EB130A7"/>
    <w:rsid w:val="1EC475E8"/>
    <w:rsid w:val="1ECA1F0E"/>
    <w:rsid w:val="1ECE70E8"/>
    <w:rsid w:val="1EDB4D70"/>
    <w:rsid w:val="1EE26121"/>
    <w:rsid w:val="1EFC1898"/>
    <w:rsid w:val="1F145076"/>
    <w:rsid w:val="1F1512C1"/>
    <w:rsid w:val="1F2369FF"/>
    <w:rsid w:val="1F2A450E"/>
    <w:rsid w:val="1F2F0804"/>
    <w:rsid w:val="1F367857"/>
    <w:rsid w:val="1F4B5919"/>
    <w:rsid w:val="1F57484F"/>
    <w:rsid w:val="1F595893"/>
    <w:rsid w:val="1F6568C5"/>
    <w:rsid w:val="1F6F0812"/>
    <w:rsid w:val="1F756076"/>
    <w:rsid w:val="1F895859"/>
    <w:rsid w:val="1F903E3E"/>
    <w:rsid w:val="1F9A59D2"/>
    <w:rsid w:val="1FA17BA5"/>
    <w:rsid w:val="1FAF3539"/>
    <w:rsid w:val="1FB85C43"/>
    <w:rsid w:val="1FBA41E5"/>
    <w:rsid w:val="1FCD141F"/>
    <w:rsid w:val="1FDD22FB"/>
    <w:rsid w:val="1FE121FD"/>
    <w:rsid w:val="1FE27147"/>
    <w:rsid w:val="1FEE67B9"/>
    <w:rsid w:val="200111A2"/>
    <w:rsid w:val="200270A6"/>
    <w:rsid w:val="20067EE8"/>
    <w:rsid w:val="200E07DB"/>
    <w:rsid w:val="201670E5"/>
    <w:rsid w:val="201834E4"/>
    <w:rsid w:val="201E6C74"/>
    <w:rsid w:val="2023703C"/>
    <w:rsid w:val="20327BBA"/>
    <w:rsid w:val="20362FBA"/>
    <w:rsid w:val="20382F5E"/>
    <w:rsid w:val="20486D11"/>
    <w:rsid w:val="205C77A6"/>
    <w:rsid w:val="2061787F"/>
    <w:rsid w:val="20642430"/>
    <w:rsid w:val="2065503C"/>
    <w:rsid w:val="20700B3D"/>
    <w:rsid w:val="209052D9"/>
    <w:rsid w:val="20941D34"/>
    <w:rsid w:val="209D0129"/>
    <w:rsid w:val="209F39BC"/>
    <w:rsid w:val="20A34C10"/>
    <w:rsid w:val="20AD3E3C"/>
    <w:rsid w:val="20B06AF2"/>
    <w:rsid w:val="20B73881"/>
    <w:rsid w:val="20BC7A73"/>
    <w:rsid w:val="20C33BAB"/>
    <w:rsid w:val="20E75BBE"/>
    <w:rsid w:val="20E90A4D"/>
    <w:rsid w:val="20F0339A"/>
    <w:rsid w:val="20F95DF1"/>
    <w:rsid w:val="20FC6275"/>
    <w:rsid w:val="21401AB6"/>
    <w:rsid w:val="21542C94"/>
    <w:rsid w:val="215A1DBB"/>
    <w:rsid w:val="21622BD9"/>
    <w:rsid w:val="216329A2"/>
    <w:rsid w:val="216C5084"/>
    <w:rsid w:val="216F27DD"/>
    <w:rsid w:val="218C78DD"/>
    <w:rsid w:val="219A620A"/>
    <w:rsid w:val="21A142FF"/>
    <w:rsid w:val="21A912EC"/>
    <w:rsid w:val="21B506EF"/>
    <w:rsid w:val="21B52099"/>
    <w:rsid w:val="21BC625C"/>
    <w:rsid w:val="21C352C4"/>
    <w:rsid w:val="21D91540"/>
    <w:rsid w:val="21E61AC2"/>
    <w:rsid w:val="21F00E91"/>
    <w:rsid w:val="21FF7C9D"/>
    <w:rsid w:val="220152DE"/>
    <w:rsid w:val="22016305"/>
    <w:rsid w:val="2206258C"/>
    <w:rsid w:val="221B75D9"/>
    <w:rsid w:val="22232DB9"/>
    <w:rsid w:val="222D0F13"/>
    <w:rsid w:val="223B07F0"/>
    <w:rsid w:val="223E19AA"/>
    <w:rsid w:val="224444F7"/>
    <w:rsid w:val="224A0E97"/>
    <w:rsid w:val="224C18C1"/>
    <w:rsid w:val="22614778"/>
    <w:rsid w:val="22616132"/>
    <w:rsid w:val="226406DC"/>
    <w:rsid w:val="226C5A79"/>
    <w:rsid w:val="227A0A31"/>
    <w:rsid w:val="22A12BB0"/>
    <w:rsid w:val="22A41C25"/>
    <w:rsid w:val="22A802AA"/>
    <w:rsid w:val="22B02DD8"/>
    <w:rsid w:val="22C40970"/>
    <w:rsid w:val="22C54251"/>
    <w:rsid w:val="22D01DA1"/>
    <w:rsid w:val="22DA743E"/>
    <w:rsid w:val="22E15E6B"/>
    <w:rsid w:val="22E66842"/>
    <w:rsid w:val="22EF372B"/>
    <w:rsid w:val="22F61B61"/>
    <w:rsid w:val="23050E49"/>
    <w:rsid w:val="23142991"/>
    <w:rsid w:val="23243ABB"/>
    <w:rsid w:val="23367743"/>
    <w:rsid w:val="2344335D"/>
    <w:rsid w:val="2348119D"/>
    <w:rsid w:val="23505101"/>
    <w:rsid w:val="2359632D"/>
    <w:rsid w:val="237C1E66"/>
    <w:rsid w:val="237D41BE"/>
    <w:rsid w:val="2381770D"/>
    <w:rsid w:val="23980B1F"/>
    <w:rsid w:val="23A146D3"/>
    <w:rsid w:val="23A86AAC"/>
    <w:rsid w:val="23B454E1"/>
    <w:rsid w:val="23B9340A"/>
    <w:rsid w:val="23BA5A7C"/>
    <w:rsid w:val="23E726D5"/>
    <w:rsid w:val="23EE3ADA"/>
    <w:rsid w:val="23F32D37"/>
    <w:rsid w:val="23F44D98"/>
    <w:rsid w:val="24035DDC"/>
    <w:rsid w:val="240838D9"/>
    <w:rsid w:val="240B5834"/>
    <w:rsid w:val="240C0783"/>
    <w:rsid w:val="24202CC1"/>
    <w:rsid w:val="243246BD"/>
    <w:rsid w:val="244F2A63"/>
    <w:rsid w:val="24521594"/>
    <w:rsid w:val="24650FE2"/>
    <w:rsid w:val="24724573"/>
    <w:rsid w:val="247408EE"/>
    <w:rsid w:val="24752138"/>
    <w:rsid w:val="248B52FC"/>
    <w:rsid w:val="24962BFE"/>
    <w:rsid w:val="249B4FC3"/>
    <w:rsid w:val="249B61A5"/>
    <w:rsid w:val="24A73B04"/>
    <w:rsid w:val="24BC7145"/>
    <w:rsid w:val="24C65C06"/>
    <w:rsid w:val="24D07A67"/>
    <w:rsid w:val="24D60B15"/>
    <w:rsid w:val="24D72983"/>
    <w:rsid w:val="24DA5432"/>
    <w:rsid w:val="24E95754"/>
    <w:rsid w:val="24EA52E8"/>
    <w:rsid w:val="24FC7E44"/>
    <w:rsid w:val="25095E4D"/>
    <w:rsid w:val="25106827"/>
    <w:rsid w:val="251C550F"/>
    <w:rsid w:val="252613B7"/>
    <w:rsid w:val="252A56F4"/>
    <w:rsid w:val="25424024"/>
    <w:rsid w:val="25484AF8"/>
    <w:rsid w:val="254E20E2"/>
    <w:rsid w:val="25545ECF"/>
    <w:rsid w:val="258C113C"/>
    <w:rsid w:val="259312E0"/>
    <w:rsid w:val="25994D2A"/>
    <w:rsid w:val="259B4B44"/>
    <w:rsid w:val="25B16908"/>
    <w:rsid w:val="25BE4934"/>
    <w:rsid w:val="25C74149"/>
    <w:rsid w:val="25D66E21"/>
    <w:rsid w:val="25E03E24"/>
    <w:rsid w:val="25E6364F"/>
    <w:rsid w:val="25F50496"/>
    <w:rsid w:val="25F97E4C"/>
    <w:rsid w:val="26082D9D"/>
    <w:rsid w:val="26090584"/>
    <w:rsid w:val="261C7FDE"/>
    <w:rsid w:val="262144DA"/>
    <w:rsid w:val="262227BC"/>
    <w:rsid w:val="26266D6B"/>
    <w:rsid w:val="263303C1"/>
    <w:rsid w:val="263B52AB"/>
    <w:rsid w:val="26402532"/>
    <w:rsid w:val="26490388"/>
    <w:rsid w:val="264C43A1"/>
    <w:rsid w:val="2659304D"/>
    <w:rsid w:val="265F2163"/>
    <w:rsid w:val="268F42BA"/>
    <w:rsid w:val="26A374B7"/>
    <w:rsid w:val="26B162F1"/>
    <w:rsid w:val="26BA2662"/>
    <w:rsid w:val="26BE57A4"/>
    <w:rsid w:val="26CD2787"/>
    <w:rsid w:val="26D60EB3"/>
    <w:rsid w:val="26D83938"/>
    <w:rsid w:val="26D950A6"/>
    <w:rsid w:val="26DD09FE"/>
    <w:rsid w:val="26DD30E5"/>
    <w:rsid w:val="26E42647"/>
    <w:rsid w:val="26F962D5"/>
    <w:rsid w:val="26FE6389"/>
    <w:rsid w:val="27036AED"/>
    <w:rsid w:val="270801A5"/>
    <w:rsid w:val="27102A88"/>
    <w:rsid w:val="27197917"/>
    <w:rsid w:val="271E2775"/>
    <w:rsid w:val="272431FA"/>
    <w:rsid w:val="272463F7"/>
    <w:rsid w:val="272D4AA6"/>
    <w:rsid w:val="273940AB"/>
    <w:rsid w:val="273B41FE"/>
    <w:rsid w:val="27425AD0"/>
    <w:rsid w:val="2751539E"/>
    <w:rsid w:val="2755746B"/>
    <w:rsid w:val="27562287"/>
    <w:rsid w:val="2758510F"/>
    <w:rsid w:val="275D60A6"/>
    <w:rsid w:val="275F1B45"/>
    <w:rsid w:val="27650C75"/>
    <w:rsid w:val="276C023B"/>
    <w:rsid w:val="279C5207"/>
    <w:rsid w:val="279F712B"/>
    <w:rsid w:val="27AA18E9"/>
    <w:rsid w:val="27C23D6D"/>
    <w:rsid w:val="27CB0BB9"/>
    <w:rsid w:val="27CD15CA"/>
    <w:rsid w:val="27E000C7"/>
    <w:rsid w:val="27E92A9C"/>
    <w:rsid w:val="27ED1F55"/>
    <w:rsid w:val="27F6294B"/>
    <w:rsid w:val="28050925"/>
    <w:rsid w:val="281A6F00"/>
    <w:rsid w:val="282211D2"/>
    <w:rsid w:val="282B1C54"/>
    <w:rsid w:val="282B5ED9"/>
    <w:rsid w:val="28332C2C"/>
    <w:rsid w:val="283572C4"/>
    <w:rsid w:val="283C10D1"/>
    <w:rsid w:val="28450468"/>
    <w:rsid w:val="28455E2E"/>
    <w:rsid w:val="2857257A"/>
    <w:rsid w:val="28642FC2"/>
    <w:rsid w:val="28654F75"/>
    <w:rsid w:val="286D18F9"/>
    <w:rsid w:val="287F619C"/>
    <w:rsid w:val="288D7E78"/>
    <w:rsid w:val="289C0D47"/>
    <w:rsid w:val="28A346DC"/>
    <w:rsid w:val="28AA2A9F"/>
    <w:rsid w:val="28AE7A05"/>
    <w:rsid w:val="28B239FD"/>
    <w:rsid w:val="28B83686"/>
    <w:rsid w:val="28C64F03"/>
    <w:rsid w:val="28D83E52"/>
    <w:rsid w:val="28DB2967"/>
    <w:rsid w:val="28E40DFA"/>
    <w:rsid w:val="28F22E24"/>
    <w:rsid w:val="28F73CFC"/>
    <w:rsid w:val="29052723"/>
    <w:rsid w:val="291B1BB7"/>
    <w:rsid w:val="2928353B"/>
    <w:rsid w:val="29381A62"/>
    <w:rsid w:val="294227B8"/>
    <w:rsid w:val="2957344F"/>
    <w:rsid w:val="295B29CB"/>
    <w:rsid w:val="2963137E"/>
    <w:rsid w:val="29663E56"/>
    <w:rsid w:val="296D0A57"/>
    <w:rsid w:val="29775D6B"/>
    <w:rsid w:val="298445EE"/>
    <w:rsid w:val="29910AA7"/>
    <w:rsid w:val="29972817"/>
    <w:rsid w:val="299A305B"/>
    <w:rsid w:val="299F6EF0"/>
    <w:rsid w:val="29A0667E"/>
    <w:rsid w:val="29A51258"/>
    <w:rsid w:val="29A60859"/>
    <w:rsid w:val="29B42E91"/>
    <w:rsid w:val="29B722F6"/>
    <w:rsid w:val="29C620B0"/>
    <w:rsid w:val="29D204A2"/>
    <w:rsid w:val="29D24A29"/>
    <w:rsid w:val="29EA3763"/>
    <w:rsid w:val="2A1E14A9"/>
    <w:rsid w:val="2A1E2242"/>
    <w:rsid w:val="2A1F433E"/>
    <w:rsid w:val="2A2253E4"/>
    <w:rsid w:val="2A27082B"/>
    <w:rsid w:val="2A2939E6"/>
    <w:rsid w:val="2A2B5E85"/>
    <w:rsid w:val="2A2F79FA"/>
    <w:rsid w:val="2A305AD0"/>
    <w:rsid w:val="2A35084B"/>
    <w:rsid w:val="2A4303B9"/>
    <w:rsid w:val="2A5012D5"/>
    <w:rsid w:val="2A565400"/>
    <w:rsid w:val="2A630A91"/>
    <w:rsid w:val="2A725204"/>
    <w:rsid w:val="2A816FBC"/>
    <w:rsid w:val="2A847366"/>
    <w:rsid w:val="2A8A53A9"/>
    <w:rsid w:val="2A8F000F"/>
    <w:rsid w:val="2A911B7A"/>
    <w:rsid w:val="2A947F0F"/>
    <w:rsid w:val="2A95744E"/>
    <w:rsid w:val="2A9A7FCC"/>
    <w:rsid w:val="2A9E396D"/>
    <w:rsid w:val="2AA32EBD"/>
    <w:rsid w:val="2AAA5DDE"/>
    <w:rsid w:val="2AAB6A40"/>
    <w:rsid w:val="2ABF26BF"/>
    <w:rsid w:val="2ABF5139"/>
    <w:rsid w:val="2AC22BF8"/>
    <w:rsid w:val="2AC31398"/>
    <w:rsid w:val="2AD01974"/>
    <w:rsid w:val="2AE22BB0"/>
    <w:rsid w:val="2AE317D9"/>
    <w:rsid w:val="2AE63C77"/>
    <w:rsid w:val="2AF35E6A"/>
    <w:rsid w:val="2AFA68AA"/>
    <w:rsid w:val="2AFB6CDA"/>
    <w:rsid w:val="2AFE695B"/>
    <w:rsid w:val="2B03643C"/>
    <w:rsid w:val="2B051C4B"/>
    <w:rsid w:val="2B0E1551"/>
    <w:rsid w:val="2B0F1E99"/>
    <w:rsid w:val="2B1802B1"/>
    <w:rsid w:val="2B235D59"/>
    <w:rsid w:val="2B316768"/>
    <w:rsid w:val="2B326A79"/>
    <w:rsid w:val="2B3A1FA2"/>
    <w:rsid w:val="2B3B2C67"/>
    <w:rsid w:val="2B3C2249"/>
    <w:rsid w:val="2B472487"/>
    <w:rsid w:val="2B522B0B"/>
    <w:rsid w:val="2B67106F"/>
    <w:rsid w:val="2B695CC7"/>
    <w:rsid w:val="2B6A4D65"/>
    <w:rsid w:val="2B710808"/>
    <w:rsid w:val="2B722450"/>
    <w:rsid w:val="2B7259B4"/>
    <w:rsid w:val="2B767F2F"/>
    <w:rsid w:val="2B890374"/>
    <w:rsid w:val="2B9508C7"/>
    <w:rsid w:val="2B985429"/>
    <w:rsid w:val="2BCA5AFF"/>
    <w:rsid w:val="2BDC538E"/>
    <w:rsid w:val="2BEC43C9"/>
    <w:rsid w:val="2BEC7CF2"/>
    <w:rsid w:val="2BF21811"/>
    <w:rsid w:val="2BF806EE"/>
    <w:rsid w:val="2BFA6F32"/>
    <w:rsid w:val="2BFD228A"/>
    <w:rsid w:val="2C011969"/>
    <w:rsid w:val="2C036A4C"/>
    <w:rsid w:val="2C125CF0"/>
    <w:rsid w:val="2C1377AB"/>
    <w:rsid w:val="2C1E1B03"/>
    <w:rsid w:val="2C207EE6"/>
    <w:rsid w:val="2C217B8E"/>
    <w:rsid w:val="2C2C3260"/>
    <w:rsid w:val="2C316B24"/>
    <w:rsid w:val="2C342A57"/>
    <w:rsid w:val="2C3D5A61"/>
    <w:rsid w:val="2C48048C"/>
    <w:rsid w:val="2C5C1239"/>
    <w:rsid w:val="2C9C1B2D"/>
    <w:rsid w:val="2CA6490B"/>
    <w:rsid w:val="2CBB05BE"/>
    <w:rsid w:val="2CC81819"/>
    <w:rsid w:val="2CCD0622"/>
    <w:rsid w:val="2CE4315D"/>
    <w:rsid w:val="2CE81B8C"/>
    <w:rsid w:val="2D1C3358"/>
    <w:rsid w:val="2D2C68FF"/>
    <w:rsid w:val="2D4060F0"/>
    <w:rsid w:val="2D597B4A"/>
    <w:rsid w:val="2D6B0B4D"/>
    <w:rsid w:val="2D775442"/>
    <w:rsid w:val="2D787DD6"/>
    <w:rsid w:val="2D7C02BF"/>
    <w:rsid w:val="2D7E2D38"/>
    <w:rsid w:val="2D8846E9"/>
    <w:rsid w:val="2D8F1D44"/>
    <w:rsid w:val="2D981FD8"/>
    <w:rsid w:val="2D9A451C"/>
    <w:rsid w:val="2D9F0971"/>
    <w:rsid w:val="2DA86765"/>
    <w:rsid w:val="2DBD42BB"/>
    <w:rsid w:val="2DCE738C"/>
    <w:rsid w:val="2DD90DEA"/>
    <w:rsid w:val="2DE14C4C"/>
    <w:rsid w:val="2DE57F35"/>
    <w:rsid w:val="2DFA10EF"/>
    <w:rsid w:val="2E017D9D"/>
    <w:rsid w:val="2E053A34"/>
    <w:rsid w:val="2E067ECC"/>
    <w:rsid w:val="2E3178B6"/>
    <w:rsid w:val="2E3D435E"/>
    <w:rsid w:val="2E3F29DB"/>
    <w:rsid w:val="2E411D36"/>
    <w:rsid w:val="2E6D685E"/>
    <w:rsid w:val="2E6E5292"/>
    <w:rsid w:val="2E82523D"/>
    <w:rsid w:val="2E834887"/>
    <w:rsid w:val="2E8C262A"/>
    <w:rsid w:val="2E8F3C4A"/>
    <w:rsid w:val="2E910B15"/>
    <w:rsid w:val="2E947FEC"/>
    <w:rsid w:val="2EB322DB"/>
    <w:rsid w:val="2EBD5ED6"/>
    <w:rsid w:val="2EC05E20"/>
    <w:rsid w:val="2EC224B9"/>
    <w:rsid w:val="2EC51246"/>
    <w:rsid w:val="2ED17082"/>
    <w:rsid w:val="2ED71CF5"/>
    <w:rsid w:val="2ED8635B"/>
    <w:rsid w:val="2EDD678B"/>
    <w:rsid w:val="2EE13F4E"/>
    <w:rsid w:val="2EE20A6F"/>
    <w:rsid w:val="2EE372CF"/>
    <w:rsid w:val="2EE8586C"/>
    <w:rsid w:val="2EF75B1D"/>
    <w:rsid w:val="2EFA135B"/>
    <w:rsid w:val="2EFC123C"/>
    <w:rsid w:val="2F0E04ED"/>
    <w:rsid w:val="2F1D209A"/>
    <w:rsid w:val="2F29131F"/>
    <w:rsid w:val="2F321A1E"/>
    <w:rsid w:val="2F413F67"/>
    <w:rsid w:val="2F482703"/>
    <w:rsid w:val="2F4B7949"/>
    <w:rsid w:val="2F534C7A"/>
    <w:rsid w:val="2F583BB4"/>
    <w:rsid w:val="2F584DE6"/>
    <w:rsid w:val="2F724A26"/>
    <w:rsid w:val="2F77453F"/>
    <w:rsid w:val="2F7E3990"/>
    <w:rsid w:val="2F7F4B25"/>
    <w:rsid w:val="2F8B537D"/>
    <w:rsid w:val="2F912EAB"/>
    <w:rsid w:val="2F93476B"/>
    <w:rsid w:val="2F9509CA"/>
    <w:rsid w:val="2FAF7E73"/>
    <w:rsid w:val="2FB124C0"/>
    <w:rsid w:val="2FBB5E9D"/>
    <w:rsid w:val="2FBB68A5"/>
    <w:rsid w:val="2FBF26D7"/>
    <w:rsid w:val="2FCA305A"/>
    <w:rsid w:val="2FCA75D3"/>
    <w:rsid w:val="2FD53CC0"/>
    <w:rsid w:val="2FD55127"/>
    <w:rsid w:val="2FE2134B"/>
    <w:rsid w:val="2FE47FAA"/>
    <w:rsid w:val="2FF57828"/>
    <w:rsid w:val="3012423B"/>
    <w:rsid w:val="30205052"/>
    <w:rsid w:val="302B00ED"/>
    <w:rsid w:val="30385A23"/>
    <w:rsid w:val="303B4825"/>
    <w:rsid w:val="303E5525"/>
    <w:rsid w:val="30440AFF"/>
    <w:rsid w:val="30551336"/>
    <w:rsid w:val="305F01C3"/>
    <w:rsid w:val="30716887"/>
    <w:rsid w:val="307900C0"/>
    <w:rsid w:val="308010E6"/>
    <w:rsid w:val="30841549"/>
    <w:rsid w:val="308B32E5"/>
    <w:rsid w:val="308E613D"/>
    <w:rsid w:val="30953AAD"/>
    <w:rsid w:val="309A294C"/>
    <w:rsid w:val="309C0AEC"/>
    <w:rsid w:val="30A2394A"/>
    <w:rsid w:val="30A32C85"/>
    <w:rsid w:val="30A94BC8"/>
    <w:rsid w:val="30AE6240"/>
    <w:rsid w:val="30D23E91"/>
    <w:rsid w:val="30E47083"/>
    <w:rsid w:val="30F0505C"/>
    <w:rsid w:val="30F37087"/>
    <w:rsid w:val="30F55506"/>
    <w:rsid w:val="31142785"/>
    <w:rsid w:val="31197EEC"/>
    <w:rsid w:val="31307E27"/>
    <w:rsid w:val="313A59D3"/>
    <w:rsid w:val="313B16D1"/>
    <w:rsid w:val="313C0C18"/>
    <w:rsid w:val="31612B40"/>
    <w:rsid w:val="316278CC"/>
    <w:rsid w:val="319D0F4C"/>
    <w:rsid w:val="31A91BFE"/>
    <w:rsid w:val="31C71085"/>
    <w:rsid w:val="31CD1CF4"/>
    <w:rsid w:val="31DC1841"/>
    <w:rsid w:val="31DF4110"/>
    <w:rsid w:val="31EC5770"/>
    <w:rsid w:val="31F567D1"/>
    <w:rsid w:val="31F85EC2"/>
    <w:rsid w:val="31FB409C"/>
    <w:rsid w:val="31FC45FB"/>
    <w:rsid w:val="32024094"/>
    <w:rsid w:val="320903A2"/>
    <w:rsid w:val="32094E94"/>
    <w:rsid w:val="320E0363"/>
    <w:rsid w:val="320E7399"/>
    <w:rsid w:val="321B4A5F"/>
    <w:rsid w:val="32206A17"/>
    <w:rsid w:val="3253031C"/>
    <w:rsid w:val="325334D7"/>
    <w:rsid w:val="327910B2"/>
    <w:rsid w:val="328C45C7"/>
    <w:rsid w:val="32B36266"/>
    <w:rsid w:val="32B56AF4"/>
    <w:rsid w:val="32B97A4B"/>
    <w:rsid w:val="32BC78D7"/>
    <w:rsid w:val="32E87437"/>
    <w:rsid w:val="32EC53E5"/>
    <w:rsid w:val="32FF4C51"/>
    <w:rsid w:val="330B42CD"/>
    <w:rsid w:val="33164DF4"/>
    <w:rsid w:val="331E26A6"/>
    <w:rsid w:val="3345651D"/>
    <w:rsid w:val="334A0530"/>
    <w:rsid w:val="335239B8"/>
    <w:rsid w:val="3354717A"/>
    <w:rsid w:val="337A03AB"/>
    <w:rsid w:val="3381164C"/>
    <w:rsid w:val="33842156"/>
    <w:rsid w:val="33A674E0"/>
    <w:rsid w:val="33B3712D"/>
    <w:rsid w:val="33B664C4"/>
    <w:rsid w:val="33C07DBE"/>
    <w:rsid w:val="33C47CC2"/>
    <w:rsid w:val="33C6356C"/>
    <w:rsid w:val="33CA65BA"/>
    <w:rsid w:val="33D14F9B"/>
    <w:rsid w:val="33D807FD"/>
    <w:rsid w:val="33F86650"/>
    <w:rsid w:val="33F930BF"/>
    <w:rsid w:val="341D08ED"/>
    <w:rsid w:val="341E4478"/>
    <w:rsid w:val="342E4F6B"/>
    <w:rsid w:val="345656C2"/>
    <w:rsid w:val="3472288A"/>
    <w:rsid w:val="348D458D"/>
    <w:rsid w:val="349A2E7D"/>
    <w:rsid w:val="34A46500"/>
    <w:rsid w:val="34A47ABF"/>
    <w:rsid w:val="34A63F34"/>
    <w:rsid w:val="34AF188E"/>
    <w:rsid w:val="34BB3580"/>
    <w:rsid w:val="34C141EC"/>
    <w:rsid w:val="34C260C7"/>
    <w:rsid w:val="34EB1B84"/>
    <w:rsid w:val="34FB2C00"/>
    <w:rsid w:val="350A34CF"/>
    <w:rsid w:val="351155B4"/>
    <w:rsid w:val="351512F8"/>
    <w:rsid w:val="351674A9"/>
    <w:rsid w:val="351C527B"/>
    <w:rsid w:val="351F7566"/>
    <w:rsid w:val="352E4E13"/>
    <w:rsid w:val="35360CCE"/>
    <w:rsid w:val="35374C19"/>
    <w:rsid w:val="35392467"/>
    <w:rsid w:val="353F343D"/>
    <w:rsid w:val="354F4AF5"/>
    <w:rsid w:val="355349DA"/>
    <w:rsid w:val="3560287C"/>
    <w:rsid w:val="3568044A"/>
    <w:rsid w:val="35797288"/>
    <w:rsid w:val="357F2433"/>
    <w:rsid w:val="3583083C"/>
    <w:rsid w:val="358866C4"/>
    <w:rsid w:val="358A3593"/>
    <w:rsid w:val="35946739"/>
    <w:rsid w:val="35953703"/>
    <w:rsid w:val="35982C6E"/>
    <w:rsid w:val="35A85005"/>
    <w:rsid w:val="35AF4FD6"/>
    <w:rsid w:val="35B24582"/>
    <w:rsid w:val="35BA30F1"/>
    <w:rsid w:val="35BA470A"/>
    <w:rsid w:val="35C45599"/>
    <w:rsid w:val="35D96F25"/>
    <w:rsid w:val="35E312DD"/>
    <w:rsid w:val="35E43FED"/>
    <w:rsid w:val="35EA36CD"/>
    <w:rsid w:val="35EB4109"/>
    <w:rsid w:val="360E7530"/>
    <w:rsid w:val="361F3579"/>
    <w:rsid w:val="36222DBB"/>
    <w:rsid w:val="36246F01"/>
    <w:rsid w:val="36281093"/>
    <w:rsid w:val="36383FF8"/>
    <w:rsid w:val="36387EEE"/>
    <w:rsid w:val="363D33ED"/>
    <w:rsid w:val="363E62B9"/>
    <w:rsid w:val="363F654B"/>
    <w:rsid w:val="36437135"/>
    <w:rsid w:val="364A771A"/>
    <w:rsid w:val="3650212F"/>
    <w:rsid w:val="365239B6"/>
    <w:rsid w:val="365848D4"/>
    <w:rsid w:val="365D0772"/>
    <w:rsid w:val="36750E75"/>
    <w:rsid w:val="367B1A24"/>
    <w:rsid w:val="368277C6"/>
    <w:rsid w:val="368E35DF"/>
    <w:rsid w:val="369347C8"/>
    <w:rsid w:val="3698688A"/>
    <w:rsid w:val="369A7744"/>
    <w:rsid w:val="36B422CB"/>
    <w:rsid w:val="36C711C9"/>
    <w:rsid w:val="36D205CA"/>
    <w:rsid w:val="36D36EE5"/>
    <w:rsid w:val="36D802AB"/>
    <w:rsid w:val="36E06090"/>
    <w:rsid w:val="36E77129"/>
    <w:rsid w:val="36EB7C46"/>
    <w:rsid w:val="37131C58"/>
    <w:rsid w:val="3717065F"/>
    <w:rsid w:val="371C795D"/>
    <w:rsid w:val="372238F7"/>
    <w:rsid w:val="37276E13"/>
    <w:rsid w:val="37364805"/>
    <w:rsid w:val="37382F04"/>
    <w:rsid w:val="374954B7"/>
    <w:rsid w:val="37692A52"/>
    <w:rsid w:val="376A3752"/>
    <w:rsid w:val="376C1E69"/>
    <w:rsid w:val="37757470"/>
    <w:rsid w:val="377B697C"/>
    <w:rsid w:val="3788468E"/>
    <w:rsid w:val="378F3B70"/>
    <w:rsid w:val="379B16DE"/>
    <w:rsid w:val="37A25FBE"/>
    <w:rsid w:val="37A46FC2"/>
    <w:rsid w:val="37AF6485"/>
    <w:rsid w:val="37B662BA"/>
    <w:rsid w:val="37B947DD"/>
    <w:rsid w:val="37BC77F8"/>
    <w:rsid w:val="37BD61D3"/>
    <w:rsid w:val="37E1427F"/>
    <w:rsid w:val="37F94035"/>
    <w:rsid w:val="37FF623D"/>
    <w:rsid w:val="38031523"/>
    <w:rsid w:val="38115908"/>
    <w:rsid w:val="381225EF"/>
    <w:rsid w:val="381C0116"/>
    <w:rsid w:val="382D00FA"/>
    <w:rsid w:val="38380DBF"/>
    <w:rsid w:val="38400E61"/>
    <w:rsid w:val="38425703"/>
    <w:rsid w:val="38507BFF"/>
    <w:rsid w:val="385121E8"/>
    <w:rsid w:val="38526CC1"/>
    <w:rsid w:val="38660078"/>
    <w:rsid w:val="387959E4"/>
    <w:rsid w:val="387A1F68"/>
    <w:rsid w:val="387C3A44"/>
    <w:rsid w:val="387D1ECC"/>
    <w:rsid w:val="38A51D64"/>
    <w:rsid w:val="38A62FF4"/>
    <w:rsid w:val="38C60197"/>
    <w:rsid w:val="38C821D2"/>
    <w:rsid w:val="38F07B8F"/>
    <w:rsid w:val="38F63A5B"/>
    <w:rsid w:val="390062FD"/>
    <w:rsid w:val="390C509B"/>
    <w:rsid w:val="391170C3"/>
    <w:rsid w:val="391220EB"/>
    <w:rsid w:val="39153CFD"/>
    <w:rsid w:val="3918368B"/>
    <w:rsid w:val="391D5C13"/>
    <w:rsid w:val="39263587"/>
    <w:rsid w:val="394123B1"/>
    <w:rsid w:val="394261BF"/>
    <w:rsid w:val="3949006A"/>
    <w:rsid w:val="394C4B6D"/>
    <w:rsid w:val="3959173E"/>
    <w:rsid w:val="39673CEE"/>
    <w:rsid w:val="39755AFE"/>
    <w:rsid w:val="397713FC"/>
    <w:rsid w:val="397D7860"/>
    <w:rsid w:val="398510E3"/>
    <w:rsid w:val="398950D7"/>
    <w:rsid w:val="398C119F"/>
    <w:rsid w:val="398F3A8D"/>
    <w:rsid w:val="39AA42AB"/>
    <w:rsid w:val="39AB140E"/>
    <w:rsid w:val="39B02818"/>
    <w:rsid w:val="39C27552"/>
    <w:rsid w:val="39D219F0"/>
    <w:rsid w:val="39D77740"/>
    <w:rsid w:val="39F540AB"/>
    <w:rsid w:val="39F769BF"/>
    <w:rsid w:val="3A0312B3"/>
    <w:rsid w:val="3A0D51D3"/>
    <w:rsid w:val="3A0D74DB"/>
    <w:rsid w:val="3A226C00"/>
    <w:rsid w:val="3A3142F2"/>
    <w:rsid w:val="3A351BB8"/>
    <w:rsid w:val="3A3C0094"/>
    <w:rsid w:val="3A3F1B1C"/>
    <w:rsid w:val="3A5A26B3"/>
    <w:rsid w:val="3A6A0948"/>
    <w:rsid w:val="3A734213"/>
    <w:rsid w:val="3A73446A"/>
    <w:rsid w:val="3A771387"/>
    <w:rsid w:val="3A866052"/>
    <w:rsid w:val="3A881940"/>
    <w:rsid w:val="3A8917AE"/>
    <w:rsid w:val="3A9473CC"/>
    <w:rsid w:val="3AA65098"/>
    <w:rsid w:val="3AB10C22"/>
    <w:rsid w:val="3AB645B2"/>
    <w:rsid w:val="3AB676B8"/>
    <w:rsid w:val="3AEA20F2"/>
    <w:rsid w:val="3B104FCC"/>
    <w:rsid w:val="3B11642C"/>
    <w:rsid w:val="3B240DE3"/>
    <w:rsid w:val="3B2D0F81"/>
    <w:rsid w:val="3B523D11"/>
    <w:rsid w:val="3B5B57DF"/>
    <w:rsid w:val="3B6B4490"/>
    <w:rsid w:val="3B6D3AAE"/>
    <w:rsid w:val="3B6E5F8A"/>
    <w:rsid w:val="3B804211"/>
    <w:rsid w:val="3B855282"/>
    <w:rsid w:val="3B951005"/>
    <w:rsid w:val="3B98331C"/>
    <w:rsid w:val="3B9F13BC"/>
    <w:rsid w:val="3BA56A05"/>
    <w:rsid w:val="3BB34FAE"/>
    <w:rsid w:val="3BBE4D4F"/>
    <w:rsid w:val="3BBF4F1B"/>
    <w:rsid w:val="3BC3434D"/>
    <w:rsid w:val="3BC906BB"/>
    <w:rsid w:val="3BCC143C"/>
    <w:rsid w:val="3BCC615F"/>
    <w:rsid w:val="3BD82A79"/>
    <w:rsid w:val="3BDD7627"/>
    <w:rsid w:val="3BED3AE9"/>
    <w:rsid w:val="3BEF2C00"/>
    <w:rsid w:val="3BEF6CE0"/>
    <w:rsid w:val="3BF66BBA"/>
    <w:rsid w:val="3BFA6835"/>
    <w:rsid w:val="3C06408E"/>
    <w:rsid w:val="3C0D722F"/>
    <w:rsid w:val="3C1F5C9E"/>
    <w:rsid w:val="3C2143BC"/>
    <w:rsid w:val="3C243C4B"/>
    <w:rsid w:val="3C437141"/>
    <w:rsid w:val="3C4F189B"/>
    <w:rsid w:val="3C620735"/>
    <w:rsid w:val="3C671E5F"/>
    <w:rsid w:val="3C6E08B5"/>
    <w:rsid w:val="3C7A3E7A"/>
    <w:rsid w:val="3C865828"/>
    <w:rsid w:val="3C89339A"/>
    <w:rsid w:val="3C8B475E"/>
    <w:rsid w:val="3C8B52B5"/>
    <w:rsid w:val="3C8E1279"/>
    <w:rsid w:val="3CA4276C"/>
    <w:rsid w:val="3CAB2FC4"/>
    <w:rsid w:val="3CB50E23"/>
    <w:rsid w:val="3CB93716"/>
    <w:rsid w:val="3CBE0634"/>
    <w:rsid w:val="3CC94499"/>
    <w:rsid w:val="3CD75B2F"/>
    <w:rsid w:val="3CE42188"/>
    <w:rsid w:val="3CF50274"/>
    <w:rsid w:val="3CFD58E1"/>
    <w:rsid w:val="3CFF4EF8"/>
    <w:rsid w:val="3D11159E"/>
    <w:rsid w:val="3D116E12"/>
    <w:rsid w:val="3D1437E4"/>
    <w:rsid w:val="3D147D98"/>
    <w:rsid w:val="3D1667AE"/>
    <w:rsid w:val="3D2429E8"/>
    <w:rsid w:val="3D2B5DA2"/>
    <w:rsid w:val="3D2C7624"/>
    <w:rsid w:val="3D2E5D39"/>
    <w:rsid w:val="3D2E69E1"/>
    <w:rsid w:val="3D3244CF"/>
    <w:rsid w:val="3D3B3526"/>
    <w:rsid w:val="3D3D54C8"/>
    <w:rsid w:val="3D3E3333"/>
    <w:rsid w:val="3D4046E9"/>
    <w:rsid w:val="3D490B6D"/>
    <w:rsid w:val="3D4A655A"/>
    <w:rsid w:val="3D512B2A"/>
    <w:rsid w:val="3D687F98"/>
    <w:rsid w:val="3D817148"/>
    <w:rsid w:val="3D8444DE"/>
    <w:rsid w:val="3D895851"/>
    <w:rsid w:val="3DAB7558"/>
    <w:rsid w:val="3DCA6E8F"/>
    <w:rsid w:val="3DE05B12"/>
    <w:rsid w:val="3DE22AE7"/>
    <w:rsid w:val="3DE3653A"/>
    <w:rsid w:val="3DE37384"/>
    <w:rsid w:val="3DE85B40"/>
    <w:rsid w:val="3DF16BED"/>
    <w:rsid w:val="3DF5106E"/>
    <w:rsid w:val="3DF7616B"/>
    <w:rsid w:val="3E2B0719"/>
    <w:rsid w:val="3E353F0B"/>
    <w:rsid w:val="3E371F91"/>
    <w:rsid w:val="3E40362B"/>
    <w:rsid w:val="3E4332C6"/>
    <w:rsid w:val="3E497D23"/>
    <w:rsid w:val="3E4F4124"/>
    <w:rsid w:val="3E671648"/>
    <w:rsid w:val="3E7734C0"/>
    <w:rsid w:val="3E7C1FD2"/>
    <w:rsid w:val="3E976979"/>
    <w:rsid w:val="3E9867AE"/>
    <w:rsid w:val="3EA84E5B"/>
    <w:rsid w:val="3EAB159A"/>
    <w:rsid w:val="3EBC3031"/>
    <w:rsid w:val="3EC2210C"/>
    <w:rsid w:val="3EC67933"/>
    <w:rsid w:val="3ED875EF"/>
    <w:rsid w:val="3EDA3539"/>
    <w:rsid w:val="3EDB064D"/>
    <w:rsid w:val="3EE16572"/>
    <w:rsid w:val="3EE63CF9"/>
    <w:rsid w:val="3EEA6638"/>
    <w:rsid w:val="3EF15B94"/>
    <w:rsid w:val="3EF21F05"/>
    <w:rsid w:val="3EF31B45"/>
    <w:rsid w:val="3EFF1A40"/>
    <w:rsid w:val="3F1C73DD"/>
    <w:rsid w:val="3F200A4E"/>
    <w:rsid w:val="3F283FEC"/>
    <w:rsid w:val="3F2D70F7"/>
    <w:rsid w:val="3F4F3B67"/>
    <w:rsid w:val="3F5638D5"/>
    <w:rsid w:val="3F613BAE"/>
    <w:rsid w:val="3F653F6A"/>
    <w:rsid w:val="3F6A35FD"/>
    <w:rsid w:val="3F6E5070"/>
    <w:rsid w:val="3F727743"/>
    <w:rsid w:val="3F727916"/>
    <w:rsid w:val="3F7C55B1"/>
    <w:rsid w:val="3F7E3CD0"/>
    <w:rsid w:val="3F952BA4"/>
    <w:rsid w:val="3F9A7F27"/>
    <w:rsid w:val="3FA276C7"/>
    <w:rsid w:val="3FA33635"/>
    <w:rsid w:val="3FB02A76"/>
    <w:rsid w:val="3FBD7ADC"/>
    <w:rsid w:val="3FC208E1"/>
    <w:rsid w:val="3FD57475"/>
    <w:rsid w:val="3FDF460D"/>
    <w:rsid w:val="3FEA2D0B"/>
    <w:rsid w:val="40183D2F"/>
    <w:rsid w:val="401F46FD"/>
    <w:rsid w:val="40294932"/>
    <w:rsid w:val="402A6F29"/>
    <w:rsid w:val="402B17D7"/>
    <w:rsid w:val="403621A3"/>
    <w:rsid w:val="40380591"/>
    <w:rsid w:val="40412C02"/>
    <w:rsid w:val="404345DE"/>
    <w:rsid w:val="405816E5"/>
    <w:rsid w:val="405D4239"/>
    <w:rsid w:val="405D6FF7"/>
    <w:rsid w:val="40742921"/>
    <w:rsid w:val="4076515A"/>
    <w:rsid w:val="40794165"/>
    <w:rsid w:val="407A1E8F"/>
    <w:rsid w:val="408402C4"/>
    <w:rsid w:val="40871E16"/>
    <w:rsid w:val="408A6214"/>
    <w:rsid w:val="408D1D4C"/>
    <w:rsid w:val="408F4520"/>
    <w:rsid w:val="40936D83"/>
    <w:rsid w:val="409F4A42"/>
    <w:rsid w:val="40A55B73"/>
    <w:rsid w:val="40AE26A1"/>
    <w:rsid w:val="40B7463C"/>
    <w:rsid w:val="40C24694"/>
    <w:rsid w:val="40C4313F"/>
    <w:rsid w:val="40C80050"/>
    <w:rsid w:val="40C84485"/>
    <w:rsid w:val="40CF4285"/>
    <w:rsid w:val="40D06839"/>
    <w:rsid w:val="40D23BD8"/>
    <w:rsid w:val="41024D32"/>
    <w:rsid w:val="41044050"/>
    <w:rsid w:val="410C49A9"/>
    <w:rsid w:val="410C6A6A"/>
    <w:rsid w:val="41181C50"/>
    <w:rsid w:val="41204AEE"/>
    <w:rsid w:val="41251B51"/>
    <w:rsid w:val="412F3B65"/>
    <w:rsid w:val="413F684E"/>
    <w:rsid w:val="41654A6F"/>
    <w:rsid w:val="417370FC"/>
    <w:rsid w:val="41764FF7"/>
    <w:rsid w:val="4176543F"/>
    <w:rsid w:val="41A37E95"/>
    <w:rsid w:val="41BB7672"/>
    <w:rsid w:val="41D2553F"/>
    <w:rsid w:val="41D42552"/>
    <w:rsid w:val="41F32B30"/>
    <w:rsid w:val="41FE016A"/>
    <w:rsid w:val="420558C9"/>
    <w:rsid w:val="42112A92"/>
    <w:rsid w:val="42192206"/>
    <w:rsid w:val="421A2408"/>
    <w:rsid w:val="422B004B"/>
    <w:rsid w:val="422E7620"/>
    <w:rsid w:val="42321C81"/>
    <w:rsid w:val="42421393"/>
    <w:rsid w:val="42442792"/>
    <w:rsid w:val="424D5BC5"/>
    <w:rsid w:val="42523EFA"/>
    <w:rsid w:val="425B4D2B"/>
    <w:rsid w:val="425C261E"/>
    <w:rsid w:val="4266769D"/>
    <w:rsid w:val="427009D0"/>
    <w:rsid w:val="427B3857"/>
    <w:rsid w:val="427E6207"/>
    <w:rsid w:val="42917ED6"/>
    <w:rsid w:val="42AB4F4A"/>
    <w:rsid w:val="42CC5B1B"/>
    <w:rsid w:val="42D27A40"/>
    <w:rsid w:val="42D81283"/>
    <w:rsid w:val="42DA494C"/>
    <w:rsid w:val="42F87A95"/>
    <w:rsid w:val="42FA663F"/>
    <w:rsid w:val="431E0983"/>
    <w:rsid w:val="43210C3C"/>
    <w:rsid w:val="433C5D76"/>
    <w:rsid w:val="433D7769"/>
    <w:rsid w:val="43443883"/>
    <w:rsid w:val="434D2972"/>
    <w:rsid w:val="43533BDA"/>
    <w:rsid w:val="43544176"/>
    <w:rsid w:val="43553B1B"/>
    <w:rsid w:val="43593EFE"/>
    <w:rsid w:val="435C1578"/>
    <w:rsid w:val="436D330F"/>
    <w:rsid w:val="436E01A9"/>
    <w:rsid w:val="436E7748"/>
    <w:rsid w:val="43712224"/>
    <w:rsid w:val="437D29CA"/>
    <w:rsid w:val="439427F3"/>
    <w:rsid w:val="43A85B09"/>
    <w:rsid w:val="43AE548D"/>
    <w:rsid w:val="43BC1FC6"/>
    <w:rsid w:val="43C24553"/>
    <w:rsid w:val="43C762D9"/>
    <w:rsid w:val="43CF0B8F"/>
    <w:rsid w:val="440A3476"/>
    <w:rsid w:val="44181E94"/>
    <w:rsid w:val="441B0714"/>
    <w:rsid w:val="4427386B"/>
    <w:rsid w:val="442B640F"/>
    <w:rsid w:val="4438329A"/>
    <w:rsid w:val="44464D31"/>
    <w:rsid w:val="44854D6A"/>
    <w:rsid w:val="448F42D8"/>
    <w:rsid w:val="44966F41"/>
    <w:rsid w:val="44A209C6"/>
    <w:rsid w:val="44A25CB6"/>
    <w:rsid w:val="44BA3438"/>
    <w:rsid w:val="44C851ED"/>
    <w:rsid w:val="44D71E6A"/>
    <w:rsid w:val="44DE114E"/>
    <w:rsid w:val="44E06066"/>
    <w:rsid w:val="44E10D81"/>
    <w:rsid w:val="44E36B58"/>
    <w:rsid w:val="44F125A8"/>
    <w:rsid w:val="45183936"/>
    <w:rsid w:val="451B0C43"/>
    <w:rsid w:val="451B6FCE"/>
    <w:rsid w:val="452332C4"/>
    <w:rsid w:val="45234944"/>
    <w:rsid w:val="45253075"/>
    <w:rsid w:val="452C153E"/>
    <w:rsid w:val="45334CF7"/>
    <w:rsid w:val="45337787"/>
    <w:rsid w:val="453D7156"/>
    <w:rsid w:val="454B570A"/>
    <w:rsid w:val="454C091D"/>
    <w:rsid w:val="45512A4A"/>
    <w:rsid w:val="45573DD9"/>
    <w:rsid w:val="45671E24"/>
    <w:rsid w:val="456D1DAE"/>
    <w:rsid w:val="45802990"/>
    <w:rsid w:val="458B22F3"/>
    <w:rsid w:val="459F5AB6"/>
    <w:rsid w:val="45A67831"/>
    <w:rsid w:val="45BA5C0D"/>
    <w:rsid w:val="45C627C6"/>
    <w:rsid w:val="45C9365F"/>
    <w:rsid w:val="45CB7138"/>
    <w:rsid w:val="45CF4A4F"/>
    <w:rsid w:val="45DA2AFE"/>
    <w:rsid w:val="45DF76F5"/>
    <w:rsid w:val="45F11C81"/>
    <w:rsid w:val="45F1391B"/>
    <w:rsid w:val="46005943"/>
    <w:rsid w:val="4603065B"/>
    <w:rsid w:val="460A34EA"/>
    <w:rsid w:val="460D7602"/>
    <w:rsid w:val="4610163C"/>
    <w:rsid w:val="461530FD"/>
    <w:rsid w:val="46293B9A"/>
    <w:rsid w:val="462B1106"/>
    <w:rsid w:val="462D7639"/>
    <w:rsid w:val="462F16E8"/>
    <w:rsid w:val="463B5A78"/>
    <w:rsid w:val="467B2576"/>
    <w:rsid w:val="468A6A53"/>
    <w:rsid w:val="4690199D"/>
    <w:rsid w:val="46927026"/>
    <w:rsid w:val="46995C0D"/>
    <w:rsid w:val="46AB3BB1"/>
    <w:rsid w:val="46B5770A"/>
    <w:rsid w:val="46CF3137"/>
    <w:rsid w:val="46E65FE3"/>
    <w:rsid w:val="46F359FA"/>
    <w:rsid w:val="46F66C60"/>
    <w:rsid w:val="46FB2F1C"/>
    <w:rsid w:val="47020D3A"/>
    <w:rsid w:val="47034D05"/>
    <w:rsid w:val="47037CD1"/>
    <w:rsid w:val="470E1699"/>
    <w:rsid w:val="47183723"/>
    <w:rsid w:val="471C2760"/>
    <w:rsid w:val="47342448"/>
    <w:rsid w:val="473652BF"/>
    <w:rsid w:val="473D4073"/>
    <w:rsid w:val="47407AEA"/>
    <w:rsid w:val="4742002D"/>
    <w:rsid w:val="47474A50"/>
    <w:rsid w:val="47525C46"/>
    <w:rsid w:val="47563071"/>
    <w:rsid w:val="476F4EF2"/>
    <w:rsid w:val="477B0C41"/>
    <w:rsid w:val="47833D1A"/>
    <w:rsid w:val="47874263"/>
    <w:rsid w:val="47875722"/>
    <w:rsid w:val="478F56E5"/>
    <w:rsid w:val="47901954"/>
    <w:rsid w:val="47A302A1"/>
    <w:rsid w:val="47A356B7"/>
    <w:rsid w:val="47B3637B"/>
    <w:rsid w:val="47B804A2"/>
    <w:rsid w:val="47B80698"/>
    <w:rsid w:val="47BE18BD"/>
    <w:rsid w:val="47CF4DE2"/>
    <w:rsid w:val="47D94896"/>
    <w:rsid w:val="47E451B4"/>
    <w:rsid w:val="47E765F6"/>
    <w:rsid w:val="47EE72E3"/>
    <w:rsid w:val="47F715EA"/>
    <w:rsid w:val="48011EEE"/>
    <w:rsid w:val="4812704D"/>
    <w:rsid w:val="48170190"/>
    <w:rsid w:val="48272756"/>
    <w:rsid w:val="4829449F"/>
    <w:rsid w:val="48426FE8"/>
    <w:rsid w:val="484A4C66"/>
    <w:rsid w:val="484E39D8"/>
    <w:rsid w:val="485D236B"/>
    <w:rsid w:val="485D7600"/>
    <w:rsid w:val="48663FF3"/>
    <w:rsid w:val="486E0728"/>
    <w:rsid w:val="487E33F8"/>
    <w:rsid w:val="48834D20"/>
    <w:rsid w:val="489954D2"/>
    <w:rsid w:val="48B4767E"/>
    <w:rsid w:val="48DC054D"/>
    <w:rsid w:val="48E5612C"/>
    <w:rsid w:val="48E73F4A"/>
    <w:rsid w:val="48F12DDA"/>
    <w:rsid w:val="490370CF"/>
    <w:rsid w:val="49064A81"/>
    <w:rsid w:val="490F5BE1"/>
    <w:rsid w:val="4916795B"/>
    <w:rsid w:val="491B4236"/>
    <w:rsid w:val="491F3DB9"/>
    <w:rsid w:val="49235967"/>
    <w:rsid w:val="49293EAF"/>
    <w:rsid w:val="49330725"/>
    <w:rsid w:val="49556AB6"/>
    <w:rsid w:val="495968C8"/>
    <w:rsid w:val="495A39B8"/>
    <w:rsid w:val="495B7543"/>
    <w:rsid w:val="496151B4"/>
    <w:rsid w:val="497564A7"/>
    <w:rsid w:val="497D0DD4"/>
    <w:rsid w:val="499265F2"/>
    <w:rsid w:val="49952997"/>
    <w:rsid w:val="4996673E"/>
    <w:rsid w:val="49B86DC5"/>
    <w:rsid w:val="49BF73E6"/>
    <w:rsid w:val="49C37DF1"/>
    <w:rsid w:val="49C8461E"/>
    <w:rsid w:val="49C96241"/>
    <w:rsid w:val="49CE62B9"/>
    <w:rsid w:val="49D00E66"/>
    <w:rsid w:val="49DE7F98"/>
    <w:rsid w:val="49F934DE"/>
    <w:rsid w:val="4A0B5C73"/>
    <w:rsid w:val="4A0E467A"/>
    <w:rsid w:val="4A204872"/>
    <w:rsid w:val="4A343A78"/>
    <w:rsid w:val="4A413008"/>
    <w:rsid w:val="4A467189"/>
    <w:rsid w:val="4A610658"/>
    <w:rsid w:val="4A631346"/>
    <w:rsid w:val="4A6623A4"/>
    <w:rsid w:val="4A662560"/>
    <w:rsid w:val="4A726384"/>
    <w:rsid w:val="4A732D5A"/>
    <w:rsid w:val="4A873F86"/>
    <w:rsid w:val="4A8A49B3"/>
    <w:rsid w:val="4A8A6A54"/>
    <w:rsid w:val="4A8D60D1"/>
    <w:rsid w:val="4A9D5AFF"/>
    <w:rsid w:val="4AB32A03"/>
    <w:rsid w:val="4AB35D1C"/>
    <w:rsid w:val="4AC42FC7"/>
    <w:rsid w:val="4ACA2BFB"/>
    <w:rsid w:val="4AD039E1"/>
    <w:rsid w:val="4AD35EF9"/>
    <w:rsid w:val="4AD7139B"/>
    <w:rsid w:val="4AEE30B5"/>
    <w:rsid w:val="4AF00EEA"/>
    <w:rsid w:val="4AF11478"/>
    <w:rsid w:val="4AF948B1"/>
    <w:rsid w:val="4B1626D1"/>
    <w:rsid w:val="4B1D5B1C"/>
    <w:rsid w:val="4B202AFF"/>
    <w:rsid w:val="4B300BEE"/>
    <w:rsid w:val="4B585B64"/>
    <w:rsid w:val="4B5F2FBC"/>
    <w:rsid w:val="4B67335B"/>
    <w:rsid w:val="4B8503A1"/>
    <w:rsid w:val="4B933A23"/>
    <w:rsid w:val="4BB52A98"/>
    <w:rsid w:val="4BC73DC8"/>
    <w:rsid w:val="4BCA32F8"/>
    <w:rsid w:val="4BE34190"/>
    <w:rsid w:val="4BF1061D"/>
    <w:rsid w:val="4BFD21B8"/>
    <w:rsid w:val="4C056BAC"/>
    <w:rsid w:val="4C076199"/>
    <w:rsid w:val="4C204A2D"/>
    <w:rsid w:val="4C3A3AC8"/>
    <w:rsid w:val="4C3D5FD2"/>
    <w:rsid w:val="4C440B18"/>
    <w:rsid w:val="4C453AAD"/>
    <w:rsid w:val="4C4A54EE"/>
    <w:rsid w:val="4C6061CF"/>
    <w:rsid w:val="4C61630D"/>
    <w:rsid w:val="4C620254"/>
    <w:rsid w:val="4C6558B1"/>
    <w:rsid w:val="4C6B1CB1"/>
    <w:rsid w:val="4C7565EF"/>
    <w:rsid w:val="4C7C4660"/>
    <w:rsid w:val="4C8011B3"/>
    <w:rsid w:val="4C8E01CA"/>
    <w:rsid w:val="4C921C77"/>
    <w:rsid w:val="4C9C056B"/>
    <w:rsid w:val="4C9C13DD"/>
    <w:rsid w:val="4CA277BC"/>
    <w:rsid w:val="4CA3334F"/>
    <w:rsid w:val="4CB35036"/>
    <w:rsid w:val="4CB6607E"/>
    <w:rsid w:val="4CB81A18"/>
    <w:rsid w:val="4CCF5CCE"/>
    <w:rsid w:val="4CEE76EC"/>
    <w:rsid w:val="4CF41C4C"/>
    <w:rsid w:val="4D0A775B"/>
    <w:rsid w:val="4D1D26D3"/>
    <w:rsid w:val="4D323BB6"/>
    <w:rsid w:val="4D3F1F91"/>
    <w:rsid w:val="4D523543"/>
    <w:rsid w:val="4D6664BF"/>
    <w:rsid w:val="4D6D16A9"/>
    <w:rsid w:val="4D79198B"/>
    <w:rsid w:val="4D7E0206"/>
    <w:rsid w:val="4D81531E"/>
    <w:rsid w:val="4D8D381B"/>
    <w:rsid w:val="4D980921"/>
    <w:rsid w:val="4D987809"/>
    <w:rsid w:val="4D9D05EA"/>
    <w:rsid w:val="4D9E1903"/>
    <w:rsid w:val="4D9E7B71"/>
    <w:rsid w:val="4DA85D92"/>
    <w:rsid w:val="4DA93CF8"/>
    <w:rsid w:val="4DAA2BB4"/>
    <w:rsid w:val="4DC14CE5"/>
    <w:rsid w:val="4DC2203B"/>
    <w:rsid w:val="4DCA0274"/>
    <w:rsid w:val="4DCF1C89"/>
    <w:rsid w:val="4DCF26ED"/>
    <w:rsid w:val="4DD24AE3"/>
    <w:rsid w:val="4DD6076D"/>
    <w:rsid w:val="4DEC0BAC"/>
    <w:rsid w:val="4DED0524"/>
    <w:rsid w:val="4DED2321"/>
    <w:rsid w:val="4DF33A91"/>
    <w:rsid w:val="4E0C455C"/>
    <w:rsid w:val="4E2F20B1"/>
    <w:rsid w:val="4E3D716F"/>
    <w:rsid w:val="4E4F520C"/>
    <w:rsid w:val="4E6305D1"/>
    <w:rsid w:val="4E647525"/>
    <w:rsid w:val="4E667BA5"/>
    <w:rsid w:val="4E691A4F"/>
    <w:rsid w:val="4E6A710B"/>
    <w:rsid w:val="4E715F1A"/>
    <w:rsid w:val="4E71758F"/>
    <w:rsid w:val="4E746999"/>
    <w:rsid w:val="4E856E5B"/>
    <w:rsid w:val="4E8730EA"/>
    <w:rsid w:val="4E921D05"/>
    <w:rsid w:val="4E943F10"/>
    <w:rsid w:val="4E9D092F"/>
    <w:rsid w:val="4E9F6F5D"/>
    <w:rsid w:val="4EAB4E46"/>
    <w:rsid w:val="4EB238CA"/>
    <w:rsid w:val="4EB738F7"/>
    <w:rsid w:val="4EC86ADF"/>
    <w:rsid w:val="4ED0008E"/>
    <w:rsid w:val="4EE1320A"/>
    <w:rsid w:val="4EEA55EB"/>
    <w:rsid w:val="4EEA5B37"/>
    <w:rsid w:val="4EEF4AD6"/>
    <w:rsid w:val="4EF85A03"/>
    <w:rsid w:val="4F0F0297"/>
    <w:rsid w:val="4F1225E4"/>
    <w:rsid w:val="4F1A7CD9"/>
    <w:rsid w:val="4F1D41F1"/>
    <w:rsid w:val="4F1D7435"/>
    <w:rsid w:val="4F1F32EA"/>
    <w:rsid w:val="4F283616"/>
    <w:rsid w:val="4F285D3D"/>
    <w:rsid w:val="4F4054ED"/>
    <w:rsid w:val="4F5522BB"/>
    <w:rsid w:val="4F602D94"/>
    <w:rsid w:val="4F631BC3"/>
    <w:rsid w:val="4F6B4360"/>
    <w:rsid w:val="4F790EEA"/>
    <w:rsid w:val="4F7C5399"/>
    <w:rsid w:val="4F894099"/>
    <w:rsid w:val="4F8D13CE"/>
    <w:rsid w:val="4F990388"/>
    <w:rsid w:val="4FAA75A8"/>
    <w:rsid w:val="4FBA7EE3"/>
    <w:rsid w:val="4FCD4F98"/>
    <w:rsid w:val="4FD85F47"/>
    <w:rsid w:val="4FE4234F"/>
    <w:rsid w:val="4FEF727D"/>
    <w:rsid w:val="4FFC4CAA"/>
    <w:rsid w:val="4FFE5B89"/>
    <w:rsid w:val="50075F36"/>
    <w:rsid w:val="501579F1"/>
    <w:rsid w:val="50234479"/>
    <w:rsid w:val="502929D1"/>
    <w:rsid w:val="502B3C2E"/>
    <w:rsid w:val="504B1504"/>
    <w:rsid w:val="506220A2"/>
    <w:rsid w:val="50630352"/>
    <w:rsid w:val="50646500"/>
    <w:rsid w:val="506553F0"/>
    <w:rsid w:val="50723E72"/>
    <w:rsid w:val="50732F37"/>
    <w:rsid w:val="50781474"/>
    <w:rsid w:val="507E1E14"/>
    <w:rsid w:val="508D49AF"/>
    <w:rsid w:val="5090243E"/>
    <w:rsid w:val="50995077"/>
    <w:rsid w:val="50995A94"/>
    <w:rsid w:val="509A0FEE"/>
    <w:rsid w:val="50A87385"/>
    <w:rsid w:val="50AA4E16"/>
    <w:rsid w:val="50BF49E3"/>
    <w:rsid w:val="50BF5239"/>
    <w:rsid w:val="50C52D3A"/>
    <w:rsid w:val="50D856AF"/>
    <w:rsid w:val="51087A6C"/>
    <w:rsid w:val="510943AE"/>
    <w:rsid w:val="511B51C5"/>
    <w:rsid w:val="511F3436"/>
    <w:rsid w:val="512457DB"/>
    <w:rsid w:val="513952E7"/>
    <w:rsid w:val="514155F5"/>
    <w:rsid w:val="514B5A97"/>
    <w:rsid w:val="514E4A01"/>
    <w:rsid w:val="51533A1F"/>
    <w:rsid w:val="515D23A4"/>
    <w:rsid w:val="516270EB"/>
    <w:rsid w:val="516748D0"/>
    <w:rsid w:val="516E1510"/>
    <w:rsid w:val="517B7F3C"/>
    <w:rsid w:val="518A77CF"/>
    <w:rsid w:val="518C19B1"/>
    <w:rsid w:val="51A800E8"/>
    <w:rsid w:val="51D24913"/>
    <w:rsid w:val="51D70395"/>
    <w:rsid w:val="51DF0A2C"/>
    <w:rsid w:val="51E56BF3"/>
    <w:rsid w:val="51EF65AE"/>
    <w:rsid w:val="520358B5"/>
    <w:rsid w:val="520A2D61"/>
    <w:rsid w:val="521149F9"/>
    <w:rsid w:val="522C1120"/>
    <w:rsid w:val="523623B7"/>
    <w:rsid w:val="52432685"/>
    <w:rsid w:val="524A70E6"/>
    <w:rsid w:val="5273571C"/>
    <w:rsid w:val="52892F80"/>
    <w:rsid w:val="529335CE"/>
    <w:rsid w:val="529A5BF1"/>
    <w:rsid w:val="52A16A35"/>
    <w:rsid w:val="52B60850"/>
    <w:rsid w:val="52B630A1"/>
    <w:rsid w:val="52E56E2E"/>
    <w:rsid w:val="52F250D1"/>
    <w:rsid w:val="52FF2786"/>
    <w:rsid w:val="5305182F"/>
    <w:rsid w:val="530C0A27"/>
    <w:rsid w:val="530C6FB2"/>
    <w:rsid w:val="530F2C1C"/>
    <w:rsid w:val="534C44C1"/>
    <w:rsid w:val="5384674F"/>
    <w:rsid w:val="539A76C3"/>
    <w:rsid w:val="539E4A2F"/>
    <w:rsid w:val="53B654A4"/>
    <w:rsid w:val="53D514A7"/>
    <w:rsid w:val="53EB5757"/>
    <w:rsid w:val="53EE1BBE"/>
    <w:rsid w:val="53F12A19"/>
    <w:rsid w:val="54076176"/>
    <w:rsid w:val="540D2B9E"/>
    <w:rsid w:val="540F49AA"/>
    <w:rsid w:val="54184C71"/>
    <w:rsid w:val="542D66EA"/>
    <w:rsid w:val="542E14D3"/>
    <w:rsid w:val="54302D9E"/>
    <w:rsid w:val="543E773B"/>
    <w:rsid w:val="54404344"/>
    <w:rsid w:val="54471746"/>
    <w:rsid w:val="54520AE5"/>
    <w:rsid w:val="5461197D"/>
    <w:rsid w:val="546560B9"/>
    <w:rsid w:val="54667537"/>
    <w:rsid w:val="54681847"/>
    <w:rsid w:val="54834C08"/>
    <w:rsid w:val="5494450D"/>
    <w:rsid w:val="54954B99"/>
    <w:rsid w:val="54AB4E4F"/>
    <w:rsid w:val="54B46E29"/>
    <w:rsid w:val="54D1799A"/>
    <w:rsid w:val="54D203A2"/>
    <w:rsid w:val="54E23923"/>
    <w:rsid w:val="550577B9"/>
    <w:rsid w:val="55080976"/>
    <w:rsid w:val="55175050"/>
    <w:rsid w:val="5521158C"/>
    <w:rsid w:val="553C1B60"/>
    <w:rsid w:val="553D6F05"/>
    <w:rsid w:val="553E2986"/>
    <w:rsid w:val="55642585"/>
    <w:rsid w:val="55734E9E"/>
    <w:rsid w:val="55771691"/>
    <w:rsid w:val="557E3B4B"/>
    <w:rsid w:val="557F36CE"/>
    <w:rsid w:val="558148C6"/>
    <w:rsid w:val="55845F2C"/>
    <w:rsid w:val="55970878"/>
    <w:rsid w:val="55997C1F"/>
    <w:rsid w:val="559D68B0"/>
    <w:rsid w:val="55A31C60"/>
    <w:rsid w:val="55A3387E"/>
    <w:rsid w:val="55B71EB2"/>
    <w:rsid w:val="55B80986"/>
    <w:rsid w:val="55C769E3"/>
    <w:rsid w:val="55D20E61"/>
    <w:rsid w:val="55D84F3F"/>
    <w:rsid w:val="55E537F9"/>
    <w:rsid w:val="55EE4090"/>
    <w:rsid w:val="55F0431C"/>
    <w:rsid w:val="55FE532F"/>
    <w:rsid w:val="56102059"/>
    <w:rsid w:val="562406E7"/>
    <w:rsid w:val="56271748"/>
    <w:rsid w:val="562E2F52"/>
    <w:rsid w:val="562F687A"/>
    <w:rsid w:val="56334A85"/>
    <w:rsid w:val="563B6A4B"/>
    <w:rsid w:val="563E6B12"/>
    <w:rsid w:val="56424BDD"/>
    <w:rsid w:val="56447C5F"/>
    <w:rsid w:val="56453BD7"/>
    <w:rsid w:val="564755B5"/>
    <w:rsid w:val="565F5E56"/>
    <w:rsid w:val="56603828"/>
    <w:rsid w:val="566F2BEA"/>
    <w:rsid w:val="567B7EDF"/>
    <w:rsid w:val="569A132E"/>
    <w:rsid w:val="569A34A6"/>
    <w:rsid w:val="56A045BE"/>
    <w:rsid w:val="56A77DA2"/>
    <w:rsid w:val="56AC2757"/>
    <w:rsid w:val="56BD4BA1"/>
    <w:rsid w:val="56C85C7D"/>
    <w:rsid w:val="56CA2421"/>
    <w:rsid w:val="56D05241"/>
    <w:rsid w:val="56DD1ACF"/>
    <w:rsid w:val="56E129E5"/>
    <w:rsid w:val="56E94E73"/>
    <w:rsid w:val="56F801A5"/>
    <w:rsid w:val="570C4357"/>
    <w:rsid w:val="571208C5"/>
    <w:rsid w:val="571916E1"/>
    <w:rsid w:val="57252CFA"/>
    <w:rsid w:val="572F39A1"/>
    <w:rsid w:val="572F4E86"/>
    <w:rsid w:val="574463B7"/>
    <w:rsid w:val="574D3C4E"/>
    <w:rsid w:val="575E12D7"/>
    <w:rsid w:val="57650F22"/>
    <w:rsid w:val="576560C5"/>
    <w:rsid w:val="57664CC8"/>
    <w:rsid w:val="5769466D"/>
    <w:rsid w:val="57943EE5"/>
    <w:rsid w:val="579D256A"/>
    <w:rsid w:val="579D6EB5"/>
    <w:rsid w:val="579F4449"/>
    <w:rsid w:val="57AE6688"/>
    <w:rsid w:val="57B079F0"/>
    <w:rsid w:val="57CF6373"/>
    <w:rsid w:val="57D936E4"/>
    <w:rsid w:val="57DE51B4"/>
    <w:rsid w:val="57E67227"/>
    <w:rsid w:val="57EB43A2"/>
    <w:rsid w:val="57EF4B68"/>
    <w:rsid w:val="57F853C5"/>
    <w:rsid w:val="58041F80"/>
    <w:rsid w:val="58156CDA"/>
    <w:rsid w:val="58183B28"/>
    <w:rsid w:val="58192311"/>
    <w:rsid w:val="581A3C45"/>
    <w:rsid w:val="581E2147"/>
    <w:rsid w:val="58232F71"/>
    <w:rsid w:val="58242DCE"/>
    <w:rsid w:val="58296788"/>
    <w:rsid w:val="582B72CC"/>
    <w:rsid w:val="583A5E34"/>
    <w:rsid w:val="5843420A"/>
    <w:rsid w:val="585E4B9B"/>
    <w:rsid w:val="5868158A"/>
    <w:rsid w:val="58696A37"/>
    <w:rsid w:val="586D4479"/>
    <w:rsid w:val="587418E8"/>
    <w:rsid w:val="58825E72"/>
    <w:rsid w:val="5897045E"/>
    <w:rsid w:val="58A031DE"/>
    <w:rsid w:val="58A6492A"/>
    <w:rsid w:val="58A9043B"/>
    <w:rsid w:val="58C85C14"/>
    <w:rsid w:val="58DE1D33"/>
    <w:rsid w:val="58E11AE9"/>
    <w:rsid w:val="58E23AAB"/>
    <w:rsid w:val="58E6691E"/>
    <w:rsid w:val="58EC5696"/>
    <w:rsid w:val="58EE3C0E"/>
    <w:rsid w:val="58F33A67"/>
    <w:rsid w:val="58FA0D65"/>
    <w:rsid w:val="58FC6438"/>
    <w:rsid w:val="58FD3DF2"/>
    <w:rsid w:val="59031DB3"/>
    <w:rsid w:val="59084CF2"/>
    <w:rsid w:val="590B0417"/>
    <w:rsid w:val="590B52AA"/>
    <w:rsid w:val="590D16A8"/>
    <w:rsid w:val="59160E7B"/>
    <w:rsid w:val="591C3F68"/>
    <w:rsid w:val="591E7F4A"/>
    <w:rsid w:val="59322FF7"/>
    <w:rsid w:val="593D57C2"/>
    <w:rsid w:val="593E6A46"/>
    <w:rsid w:val="59431BEA"/>
    <w:rsid w:val="59481FA0"/>
    <w:rsid w:val="594B682A"/>
    <w:rsid w:val="594C3511"/>
    <w:rsid w:val="594E2987"/>
    <w:rsid w:val="595065A6"/>
    <w:rsid w:val="59543707"/>
    <w:rsid w:val="595633AE"/>
    <w:rsid w:val="59575CAC"/>
    <w:rsid w:val="5957750B"/>
    <w:rsid w:val="595E3131"/>
    <w:rsid w:val="59605139"/>
    <w:rsid w:val="5963263A"/>
    <w:rsid w:val="5963706F"/>
    <w:rsid w:val="59686813"/>
    <w:rsid w:val="596A1264"/>
    <w:rsid w:val="59757BEF"/>
    <w:rsid w:val="597E56AB"/>
    <w:rsid w:val="59807A83"/>
    <w:rsid w:val="598B062F"/>
    <w:rsid w:val="598D347F"/>
    <w:rsid w:val="599627B7"/>
    <w:rsid w:val="599F3E9D"/>
    <w:rsid w:val="59A178D3"/>
    <w:rsid w:val="59A873B5"/>
    <w:rsid w:val="59AE140A"/>
    <w:rsid w:val="59B857DD"/>
    <w:rsid w:val="59BC2489"/>
    <w:rsid w:val="59C13C3A"/>
    <w:rsid w:val="59D171BF"/>
    <w:rsid w:val="59DD0D1B"/>
    <w:rsid w:val="59F637D8"/>
    <w:rsid w:val="59F82A37"/>
    <w:rsid w:val="59F95A3D"/>
    <w:rsid w:val="5A017E91"/>
    <w:rsid w:val="5A050F6B"/>
    <w:rsid w:val="5A06792D"/>
    <w:rsid w:val="5A0C7CAF"/>
    <w:rsid w:val="5A140647"/>
    <w:rsid w:val="5A2A7203"/>
    <w:rsid w:val="5A2B4D84"/>
    <w:rsid w:val="5A2C074B"/>
    <w:rsid w:val="5A3304B9"/>
    <w:rsid w:val="5A517F3C"/>
    <w:rsid w:val="5A5F7DA6"/>
    <w:rsid w:val="5A635A96"/>
    <w:rsid w:val="5A775599"/>
    <w:rsid w:val="5A7E4885"/>
    <w:rsid w:val="5A90513F"/>
    <w:rsid w:val="5A9619A6"/>
    <w:rsid w:val="5AA564F1"/>
    <w:rsid w:val="5AA94335"/>
    <w:rsid w:val="5AAF4BD5"/>
    <w:rsid w:val="5AC24E8B"/>
    <w:rsid w:val="5AC352AF"/>
    <w:rsid w:val="5ACE17C6"/>
    <w:rsid w:val="5AD036FB"/>
    <w:rsid w:val="5ADF6C9F"/>
    <w:rsid w:val="5AFE2AC6"/>
    <w:rsid w:val="5B04412D"/>
    <w:rsid w:val="5B11158C"/>
    <w:rsid w:val="5B135A49"/>
    <w:rsid w:val="5B1A4232"/>
    <w:rsid w:val="5B1B45B3"/>
    <w:rsid w:val="5B206432"/>
    <w:rsid w:val="5B2B32D8"/>
    <w:rsid w:val="5B31635D"/>
    <w:rsid w:val="5B49328D"/>
    <w:rsid w:val="5B497533"/>
    <w:rsid w:val="5B4A0787"/>
    <w:rsid w:val="5B545C64"/>
    <w:rsid w:val="5B5B57F7"/>
    <w:rsid w:val="5B74422B"/>
    <w:rsid w:val="5B83311E"/>
    <w:rsid w:val="5B8E05B8"/>
    <w:rsid w:val="5BBA4384"/>
    <w:rsid w:val="5BD86273"/>
    <w:rsid w:val="5BDC1AB7"/>
    <w:rsid w:val="5BE16584"/>
    <w:rsid w:val="5BE56322"/>
    <w:rsid w:val="5BE8082D"/>
    <w:rsid w:val="5BF81E00"/>
    <w:rsid w:val="5BF8397E"/>
    <w:rsid w:val="5C0234F1"/>
    <w:rsid w:val="5C0320D3"/>
    <w:rsid w:val="5C0666A9"/>
    <w:rsid w:val="5C0A0FAB"/>
    <w:rsid w:val="5C1624E9"/>
    <w:rsid w:val="5C164E61"/>
    <w:rsid w:val="5C1F3B4F"/>
    <w:rsid w:val="5C246359"/>
    <w:rsid w:val="5C2F6FBE"/>
    <w:rsid w:val="5C3C3C58"/>
    <w:rsid w:val="5C435483"/>
    <w:rsid w:val="5C4A6057"/>
    <w:rsid w:val="5C5702D9"/>
    <w:rsid w:val="5C575DA0"/>
    <w:rsid w:val="5C5F4A3A"/>
    <w:rsid w:val="5C76156B"/>
    <w:rsid w:val="5C7A05CE"/>
    <w:rsid w:val="5C7A6A9F"/>
    <w:rsid w:val="5C867502"/>
    <w:rsid w:val="5C881C88"/>
    <w:rsid w:val="5C8E6B13"/>
    <w:rsid w:val="5C926907"/>
    <w:rsid w:val="5CA661F3"/>
    <w:rsid w:val="5CAB5DCD"/>
    <w:rsid w:val="5CB16938"/>
    <w:rsid w:val="5CCB2E45"/>
    <w:rsid w:val="5CF73B8B"/>
    <w:rsid w:val="5D055A28"/>
    <w:rsid w:val="5D0D5B2B"/>
    <w:rsid w:val="5D147877"/>
    <w:rsid w:val="5D1F4138"/>
    <w:rsid w:val="5D245389"/>
    <w:rsid w:val="5D294BA2"/>
    <w:rsid w:val="5D2C6787"/>
    <w:rsid w:val="5D3E3A7B"/>
    <w:rsid w:val="5D3E45BD"/>
    <w:rsid w:val="5D5C36A3"/>
    <w:rsid w:val="5D643804"/>
    <w:rsid w:val="5D6F6ECB"/>
    <w:rsid w:val="5D7B2AF2"/>
    <w:rsid w:val="5D861BE8"/>
    <w:rsid w:val="5D8B20E0"/>
    <w:rsid w:val="5DA52F21"/>
    <w:rsid w:val="5DA638A4"/>
    <w:rsid w:val="5DAB41A7"/>
    <w:rsid w:val="5DB011A9"/>
    <w:rsid w:val="5DB4439A"/>
    <w:rsid w:val="5DC63590"/>
    <w:rsid w:val="5DC751A5"/>
    <w:rsid w:val="5DD11C11"/>
    <w:rsid w:val="5DD91D21"/>
    <w:rsid w:val="5DE23550"/>
    <w:rsid w:val="5DE25B5E"/>
    <w:rsid w:val="5DE26B61"/>
    <w:rsid w:val="5DE47EB5"/>
    <w:rsid w:val="5DEA368D"/>
    <w:rsid w:val="5DEE0CE5"/>
    <w:rsid w:val="5DF31E5E"/>
    <w:rsid w:val="5E081B13"/>
    <w:rsid w:val="5E1309C1"/>
    <w:rsid w:val="5E140057"/>
    <w:rsid w:val="5E140CE5"/>
    <w:rsid w:val="5E14455B"/>
    <w:rsid w:val="5E1D1BF5"/>
    <w:rsid w:val="5E2707D0"/>
    <w:rsid w:val="5E2E20CD"/>
    <w:rsid w:val="5E3B37CE"/>
    <w:rsid w:val="5E561362"/>
    <w:rsid w:val="5E633773"/>
    <w:rsid w:val="5E6A559D"/>
    <w:rsid w:val="5E6F482B"/>
    <w:rsid w:val="5E7B656D"/>
    <w:rsid w:val="5E815838"/>
    <w:rsid w:val="5E9B4C25"/>
    <w:rsid w:val="5EB00592"/>
    <w:rsid w:val="5EB83FDF"/>
    <w:rsid w:val="5F01654B"/>
    <w:rsid w:val="5F173CBA"/>
    <w:rsid w:val="5F293312"/>
    <w:rsid w:val="5F2A1796"/>
    <w:rsid w:val="5F32171B"/>
    <w:rsid w:val="5F4E1EE1"/>
    <w:rsid w:val="5F510CD7"/>
    <w:rsid w:val="5F5825F7"/>
    <w:rsid w:val="5F5B60D6"/>
    <w:rsid w:val="5F5D6F73"/>
    <w:rsid w:val="5F642DC7"/>
    <w:rsid w:val="5F6E485E"/>
    <w:rsid w:val="5F727672"/>
    <w:rsid w:val="5F760FB3"/>
    <w:rsid w:val="5F8461E0"/>
    <w:rsid w:val="5F861BE8"/>
    <w:rsid w:val="5F880303"/>
    <w:rsid w:val="5F8822F2"/>
    <w:rsid w:val="5F8E6E35"/>
    <w:rsid w:val="5F9E409A"/>
    <w:rsid w:val="5FC30F01"/>
    <w:rsid w:val="5FC574A2"/>
    <w:rsid w:val="5FC920B9"/>
    <w:rsid w:val="5FCE04B8"/>
    <w:rsid w:val="5FD75A95"/>
    <w:rsid w:val="5FE3624B"/>
    <w:rsid w:val="5FE77C2E"/>
    <w:rsid w:val="5FF62224"/>
    <w:rsid w:val="5FF87721"/>
    <w:rsid w:val="5FFC31B0"/>
    <w:rsid w:val="60000345"/>
    <w:rsid w:val="60041DA2"/>
    <w:rsid w:val="601778D8"/>
    <w:rsid w:val="601B407B"/>
    <w:rsid w:val="601C68AC"/>
    <w:rsid w:val="60310704"/>
    <w:rsid w:val="60365032"/>
    <w:rsid w:val="60436841"/>
    <w:rsid w:val="60462ABA"/>
    <w:rsid w:val="604D26DB"/>
    <w:rsid w:val="604E259D"/>
    <w:rsid w:val="60622FE6"/>
    <w:rsid w:val="60707C63"/>
    <w:rsid w:val="60763CD0"/>
    <w:rsid w:val="607E1A0F"/>
    <w:rsid w:val="608D4366"/>
    <w:rsid w:val="608E7959"/>
    <w:rsid w:val="609176B2"/>
    <w:rsid w:val="60AD2C51"/>
    <w:rsid w:val="60AF399C"/>
    <w:rsid w:val="60BA3336"/>
    <w:rsid w:val="60BE1FE2"/>
    <w:rsid w:val="60DD5D6E"/>
    <w:rsid w:val="60E111DC"/>
    <w:rsid w:val="60F65792"/>
    <w:rsid w:val="60F93E9B"/>
    <w:rsid w:val="60FA21CC"/>
    <w:rsid w:val="61105BFF"/>
    <w:rsid w:val="612B23C6"/>
    <w:rsid w:val="614C10D3"/>
    <w:rsid w:val="61513CDA"/>
    <w:rsid w:val="615C021E"/>
    <w:rsid w:val="61634300"/>
    <w:rsid w:val="61654DC7"/>
    <w:rsid w:val="618A27CC"/>
    <w:rsid w:val="619371E3"/>
    <w:rsid w:val="619A4430"/>
    <w:rsid w:val="619B78B5"/>
    <w:rsid w:val="61A64505"/>
    <w:rsid w:val="61A6568A"/>
    <w:rsid w:val="61AE1C3F"/>
    <w:rsid w:val="61BE467D"/>
    <w:rsid w:val="61C36267"/>
    <w:rsid w:val="61D22EDD"/>
    <w:rsid w:val="61DB7B2E"/>
    <w:rsid w:val="61E62DC3"/>
    <w:rsid w:val="61E9580C"/>
    <w:rsid w:val="61F254ED"/>
    <w:rsid w:val="61F74A58"/>
    <w:rsid w:val="61F827C0"/>
    <w:rsid w:val="61FC2322"/>
    <w:rsid w:val="61FF5F0C"/>
    <w:rsid w:val="620B4E5E"/>
    <w:rsid w:val="622710F0"/>
    <w:rsid w:val="623213BA"/>
    <w:rsid w:val="623646DE"/>
    <w:rsid w:val="623F0901"/>
    <w:rsid w:val="62593821"/>
    <w:rsid w:val="626A6D9F"/>
    <w:rsid w:val="626B36FE"/>
    <w:rsid w:val="628F2C25"/>
    <w:rsid w:val="62AE300D"/>
    <w:rsid w:val="62B7162B"/>
    <w:rsid w:val="62BE0896"/>
    <w:rsid w:val="62BE2BCE"/>
    <w:rsid w:val="62D92DBA"/>
    <w:rsid w:val="62E024F0"/>
    <w:rsid w:val="62E227F1"/>
    <w:rsid w:val="62E524B8"/>
    <w:rsid w:val="6302329E"/>
    <w:rsid w:val="632779C5"/>
    <w:rsid w:val="63303A4D"/>
    <w:rsid w:val="6337428E"/>
    <w:rsid w:val="63383F53"/>
    <w:rsid w:val="63495614"/>
    <w:rsid w:val="6356750C"/>
    <w:rsid w:val="636C2B41"/>
    <w:rsid w:val="638535DC"/>
    <w:rsid w:val="63873012"/>
    <w:rsid w:val="638D43F4"/>
    <w:rsid w:val="638F3791"/>
    <w:rsid w:val="63A26EC4"/>
    <w:rsid w:val="63BD11C9"/>
    <w:rsid w:val="63BD46F7"/>
    <w:rsid w:val="63C93AE3"/>
    <w:rsid w:val="63D32DD9"/>
    <w:rsid w:val="63EA5AEE"/>
    <w:rsid w:val="63F85380"/>
    <w:rsid w:val="63F93F4F"/>
    <w:rsid w:val="64103907"/>
    <w:rsid w:val="641635A1"/>
    <w:rsid w:val="64283AC7"/>
    <w:rsid w:val="6428645B"/>
    <w:rsid w:val="644E1F71"/>
    <w:rsid w:val="645C3CF2"/>
    <w:rsid w:val="645F4CE1"/>
    <w:rsid w:val="64657189"/>
    <w:rsid w:val="64686488"/>
    <w:rsid w:val="647212FE"/>
    <w:rsid w:val="647D1303"/>
    <w:rsid w:val="64806DD5"/>
    <w:rsid w:val="64956619"/>
    <w:rsid w:val="649B584B"/>
    <w:rsid w:val="64A67DD5"/>
    <w:rsid w:val="64AF7CA6"/>
    <w:rsid w:val="64C54D6F"/>
    <w:rsid w:val="64C73248"/>
    <w:rsid w:val="64D06CDF"/>
    <w:rsid w:val="64D60316"/>
    <w:rsid w:val="64D87CC1"/>
    <w:rsid w:val="64E457A0"/>
    <w:rsid w:val="64FA7B14"/>
    <w:rsid w:val="65032E45"/>
    <w:rsid w:val="650A68A4"/>
    <w:rsid w:val="6514101D"/>
    <w:rsid w:val="65152054"/>
    <w:rsid w:val="6526422D"/>
    <w:rsid w:val="65373F1D"/>
    <w:rsid w:val="65413870"/>
    <w:rsid w:val="65495E7D"/>
    <w:rsid w:val="65532B1F"/>
    <w:rsid w:val="65567222"/>
    <w:rsid w:val="655B1C89"/>
    <w:rsid w:val="658A6AB1"/>
    <w:rsid w:val="658E7D05"/>
    <w:rsid w:val="65A127C6"/>
    <w:rsid w:val="65BE767F"/>
    <w:rsid w:val="65CC6EF0"/>
    <w:rsid w:val="65D67CEA"/>
    <w:rsid w:val="65DE1EB3"/>
    <w:rsid w:val="65E225EC"/>
    <w:rsid w:val="65FA6095"/>
    <w:rsid w:val="65FD33DF"/>
    <w:rsid w:val="66125F44"/>
    <w:rsid w:val="661B704A"/>
    <w:rsid w:val="66214AA5"/>
    <w:rsid w:val="66215043"/>
    <w:rsid w:val="6627308E"/>
    <w:rsid w:val="663A6DCD"/>
    <w:rsid w:val="66506D9C"/>
    <w:rsid w:val="6656191E"/>
    <w:rsid w:val="66663913"/>
    <w:rsid w:val="66674684"/>
    <w:rsid w:val="666D5DFE"/>
    <w:rsid w:val="66752BE7"/>
    <w:rsid w:val="669C1AF8"/>
    <w:rsid w:val="66A7449A"/>
    <w:rsid w:val="66A84691"/>
    <w:rsid w:val="66AC16AA"/>
    <w:rsid w:val="66AE077E"/>
    <w:rsid w:val="66C15B38"/>
    <w:rsid w:val="66D342EA"/>
    <w:rsid w:val="66F53BC0"/>
    <w:rsid w:val="66F67AFB"/>
    <w:rsid w:val="66F81920"/>
    <w:rsid w:val="67067BD9"/>
    <w:rsid w:val="6714788D"/>
    <w:rsid w:val="673D7A0C"/>
    <w:rsid w:val="674615D1"/>
    <w:rsid w:val="6747733C"/>
    <w:rsid w:val="67495544"/>
    <w:rsid w:val="67565945"/>
    <w:rsid w:val="676222A6"/>
    <w:rsid w:val="676506B9"/>
    <w:rsid w:val="6769408E"/>
    <w:rsid w:val="67730C98"/>
    <w:rsid w:val="677A1A7A"/>
    <w:rsid w:val="67974BB7"/>
    <w:rsid w:val="67A645A2"/>
    <w:rsid w:val="67AB7D90"/>
    <w:rsid w:val="67AF6C6F"/>
    <w:rsid w:val="67B13351"/>
    <w:rsid w:val="67DB7F90"/>
    <w:rsid w:val="67E12B5F"/>
    <w:rsid w:val="67EA780C"/>
    <w:rsid w:val="68027390"/>
    <w:rsid w:val="684736CE"/>
    <w:rsid w:val="68603F1B"/>
    <w:rsid w:val="686369FF"/>
    <w:rsid w:val="686D3BF3"/>
    <w:rsid w:val="6871148A"/>
    <w:rsid w:val="687B491A"/>
    <w:rsid w:val="68931D4F"/>
    <w:rsid w:val="689678C1"/>
    <w:rsid w:val="689B74B0"/>
    <w:rsid w:val="68A25545"/>
    <w:rsid w:val="68A77315"/>
    <w:rsid w:val="68AB7255"/>
    <w:rsid w:val="68AE008F"/>
    <w:rsid w:val="68C2243C"/>
    <w:rsid w:val="68C8307C"/>
    <w:rsid w:val="68D3293F"/>
    <w:rsid w:val="68D63C5F"/>
    <w:rsid w:val="68D67E30"/>
    <w:rsid w:val="68DA6F63"/>
    <w:rsid w:val="68E84032"/>
    <w:rsid w:val="68E865A7"/>
    <w:rsid w:val="68EF4874"/>
    <w:rsid w:val="68F67EC5"/>
    <w:rsid w:val="68F84E0A"/>
    <w:rsid w:val="6902601D"/>
    <w:rsid w:val="69070FC6"/>
    <w:rsid w:val="690C2D88"/>
    <w:rsid w:val="69272732"/>
    <w:rsid w:val="692856C4"/>
    <w:rsid w:val="693551ED"/>
    <w:rsid w:val="693A39DA"/>
    <w:rsid w:val="69465C99"/>
    <w:rsid w:val="69484B8B"/>
    <w:rsid w:val="69583929"/>
    <w:rsid w:val="6963775D"/>
    <w:rsid w:val="69792D48"/>
    <w:rsid w:val="698A6697"/>
    <w:rsid w:val="69B362E5"/>
    <w:rsid w:val="69B81411"/>
    <w:rsid w:val="69D32E2E"/>
    <w:rsid w:val="69D43B1E"/>
    <w:rsid w:val="69D774CF"/>
    <w:rsid w:val="69D94E2F"/>
    <w:rsid w:val="69E0582C"/>
    <w:rsid w:val="69FF2A95"/>
    <w:rsid w:val="6A07580E"/>
    <w:rsid w:val="6A0B10EF"/>
    <w:rsid w:val="6A23368F"/>
    <w:rsid w:val="6A3214A2"/>
    <w:rsid w:val="6A37168B"/>
    <w:rsid w:val="6A497862"/>
    <w:rsid w:val="6A4C4B36"/>
    <w:rsid w:val="6A676646"/>
    <w:rsid w:val="6A7B2D50"/>
    <w:rsid w:val="6A807B54"/>
    <w:rsid w:val="6A8632B2"/>
    <w:rsid w:val="6A8C3E32"/>
    <w:rsid w:val="6A934051"/>
    <w:rsid w:val="6A94423C"/>
    <w:rsid w:val="6ABA7CCC"/>
    <w:rsid w:val="6ACA5DC5"/>
    <w:rsid w:val="6ADD1F77"/>
    <w:rsid w:val="6AE21706"/>
    <w:rsid w:val="6AEB5159"/>
    <w:rsid w:val="6AF0513F"/>
    <w:rsid w:val="6B113EB2"/>
    <w:rsid w:val="6B126C67"/>
    <w:rsid w:val="6B1C4DF4"/>
    <w:rsid w:val="6B240263"/>
    <w:rsid w:val="6B2430A6"/>
    <w:rsid w:val="6B2A3D5B"/>
    <w:rsid w:val="6B2D5A10"/>
    <w:rsid w:val="6B2F15A5"/>
    <w:rsid w:val="6B331785"/>
    <w:rsid w:val="6B4029F2"/>
    <w:rsid w:val="6B487400"/>
    <w:rsid w:val="6B4928F0"/>
    <w:rsid w:val="6B4F2E1A"/>
    <w:rsid w:val="6B5B1948"/>
    <w:rsid w:val="6B683517"/>
    <w:rsid w:val="6B8E1217"/>
    <w:rsid w:val="6B8F48EA"/>
    <w:rsid w:val="6BC56D11"/>
    <w:rsid w:val="6BC645CF"/>
    <w:rsid w:val="6BD54DCC"/>
    <w:rsid w:val="6BD75695"/>
    <w:rsid w:val="6BEA18F6"/>
    <w:rsid w:val="6C092855"/>
    <w:rsid w:val="6C0A1D9F"/>
    <w:rsid w:val="6C111CF7"/>
    <w:rsid w:val="6C121819"/>
    <w:rsid w:val="6C1A59AD"/>
    <w:rsid w:val="6C2127B3"/>
    <w:rsid w:val="6C2344D3"/>
    <w:rsid w:val="6C261705"/>
    <w:rsid w:val="6C2F2E9D"/>
    <w:rsid w:val="6C366808"/>
    <w:rsid w:val="6C38351D"/>
    <w:rsid w:val="6C3F62A8"/>
    <w:rsid w:val="6C4D2A8D"/>
    <w:rsid w:val="6C4D5C94"/>
    <w:rsid w:val="6C8158D4"/>
    <w:rsid w:val="6C855AFC"/>
    <w:rsid w:val="6CA272F9"/>
    <w:rsid w:val="6CA378FD"/>
    <w:rsid w:val="6CAD1DB1"/>
    <w:rsid w:val="6CBC1B0F"/>
    <w:rsid w:val="6CBE65B6"/>
    <w:rsid w:val="6CBF2E07"/>
    <w:rsid w:val="6CC77B2F"/>
    <w:rsid w:val="6CCF524A"/>
    <w:rsid w:val="6CD1593E"/>
    <w:rsid w:val="6CE1702C"/>
    <w:rsid w:val="6CEF4D94"/>
    <w:rsid w:val="6CFA1A7F"/>
    <w:rsid w:val="6CFA3C5C"/>
    <w:rsid w:val="6CFA680A"/>
    <w:rsid w:val="6CFB1651"/>
    <w:rsid w:val="6CFB7840"/>
    <w:rsid w:val="6CFF5BF0"/>
    <w:rsid w:val="6D050DF2"/>
    <w:rsid w:val="6D160BFE"/>
    <w:rsid w:val="6D222F12"/>
    <w:rsid w:val="6D242311"/>
    <w:rsid w:val="6D3860D2"/>
    <w:rsid w:val="6D413E88"/>
    <w:rsid w:val="6D497D34"/>
    <w:rsid w:val="6D544F03"/>
    <w:rsid w:val="6D7542C0"/>
    <w:rsid w:val="6D7E5E5B"/>
    <w:rsid w:val="6D8042EE"/>
    <w:rsid w:val="6D8970A0"/>
    <w:rsid w:val="6D96794E"/>
    <w:rsid w:val="6D9B62B6"/>
    <w:rsid w:val="6D9F3A7E"/>
    <w:rsid w:val="6DA47173"/>
    <w:rsid w:val="6DAD5119"/>
    <w:rsid w:val="6DB34CA3"/>
    <w:rsid w:val="6DB42D2B"/>
    <w:rsid w:val="6DBD2BE5"/>
    <w:rsid w:val="6DC23D85"/>
    <w:rsid w:val="6DD07C77"/>
    <w:rsid w:val="6DE15AD2"/>
    <w:rsid w:val="6DE57FAA"/>
    <w:rsid w:val="6DE92567"/>
    <w:rsid w:val="6DED6608"/>
    <w:rsid w:val="6DF55FC1"/>
    <w:rsid w:val="6DFD3E00"/>
    <w:rsid w:val="6E052671"/>
    <w:rsid w:val="6E082526"/>
    <w:rsid w:val="6E120263"/>
    <w:rsid w:val="6E1401AF"/>
    <w:rsid w:val="6E180A04"/>
    <w:rsid w:val="6E365FDE"/>
    <w:rsid w:val="6E38602F"/>
    <w:rsid w:val="6E3A526B"/>
    <w:rsid w:val="6E4375BC"/>
    <w:rsid w:val="6E4B7B3E"/>
    <w:rsid w:val="6E541700"/>
    <w:rsid w:val="6E6127D0"/>
    <w:rsid w:val="6E664914"/>
    <w:rsid w:val="6E737F8A"/>
    <w:rsid w:val="6E7F3CCC"/>
    <w:rsid w:val="6E8010BD"/>
    <w:rsid w:val="6E801F5F"/>
    <w:rsid w:val="6E822E97"/>
    <w:rsid w:val="6E87036A"/>
    <w:rsid w:val="6E953A58"/>
    <w:rsid w:val="6EA62251"/>
    <w:rsid w:val="6EB54628"/>
    <w:rsid w:val="6EB73EC1"/>
    <w:rsid w:val="6EB84DF9"/>
    <w:rsid w:val="6ECD5176"/>
    <w:rsid w:val="6ED92276"/>
    <w:rsid w:val="6EDD7084"/>
    <w:rsid w:val="6EE5747A"/>
    <w:rsid w:val="6EE62EFB"/>
    <w:rsid w:val="6EF43401"/>
    <w:rsid w:val="6EF43864"/>
    <w:rsid w:val="6EF91206"/>
    <w:rsid w:val="6F076171"/>
    <w:rsid w:val="6F1325B4"/>
    <w:rsid w:val="6F3A0766"/>
    <w:rsid w:val="6F442D80"/>
    <w:rsid w:val="6F7613A8"/>
    <w:rsid w:val="6F784DF6"/>
    <w:rsid w:val="6F791065"/>
    <w:rsid w:val="6F840705"/>
    <w:rsid w:val="6F8F75B1"/>
    <w:rsid w:val="6F936C0D"/>
    <w:rsid w:val="6F9D68D5"/>
    <w:rsid w:val="6FB727B0"/>
    <w:rsid w:val="6FC12591"/>
    <w:rsid w:val="6FC31866"/>
    <w:rsid w:val="6FC73BD9"/>
    <w:rsid w:val="6FE30C15"/>
    <w:rsid w:val="6FE6261E"/>
    <w:rsid w:val="6FE72347"/>
    <w:rsid w:val="6FEF4928"/>
    <w:rsid w:val="6FFC1715"/>
    <w:rsid w:val="70061E46"/>
    <w:rsid w:val="700F7A03"/>
    <w:rsid w:val="70101F06"/>
    <w:rsid w:val="701A6C3E"/>
    <w:rsid w:val="701E725B"/>
    <w:rsid w:val="70260922"/>
    <w:rsid w:val="702A44F5"/>
    <w:rsid w:val="70303C9C"/>
    <w:rsid w:val="704F5BF3"/>
    <w:rsid w:val="70617474"/>
    <w:rsid w:val="70665A95"/>
    <w:rsid w:val="706770A2"/>
    <w:rsid w:val="706F51BF"/>
    <w:rsid w:val="70733B4F"/>
    <w:rsid w:val="70736EF3"/>
    <w:rsid w:val="708104F2"/>
    <w:rsid w:val="70817739"/>
    <w:rsid w:val="70944697"/>
    <w:rsid w:val="70A91C2A"/>
    <w:rsid w:val="70C15C5B"/>
    <w:rsid w:val="70C36755"/>
    <w:rsid w:val="70CD236D"/>
    <w:rsid w:val="70D60D2D"/>
    <w:rsid w:val="70DF07FD"/>
    <w:rsid w:val="70EB5487"/>
    <w:rsid w:val="71131D88"/>
    <w:rsid w:val="71141AEC"/>
    <w:rsid w:val="71173F05"/>
    <w:rsid w:val="712E0F12"/>
    <w:rsid w:val="71331ACD"/>
    <w:rsid w:val="715978F3"/>
    <w:rsid w:val="715B1E12"/>
    <w:rsid w:val="715F18B7"/>
    <w:rsid w:val="716B7641"/>
    <w:rsid w:val="716F54CA"/>
    <w:rsid w:val="717E784C"/>
    <w:rsid w:val="71897B6B"/>
    <w:rsid w:val="718D6D83"/>
    <w:rsid w:val="71934875"/>
    <w:rsid w:val="71972D29"/>
    <w:rsid w:val="719B5D76"/>
    <w:rsid w:val="71B05AB3"/>
    <w:rsid w:val="71B33558"/>
    <w:rsid w:val="71C613B8"/>
    <w:rsid w:val="71DC4E23"/>
    <w:rsid w:val="71EA750A"/>
    <w:rsid w:val="71FE1478"/>
    <w:rsid w:val="72134E93"/>
    <w:rsid w:val="721F41B2"/>
    <w:rsid w:val="72217A32"/>
    <w:rsid w:val="72262E37"/>
    <w:rsid w:val="72267279"/>
    <w:rsid w:val="722A53BF"/>
    <w:rsid w:val="7231289D"/>
    <w:rsid w:val="72362A17"/>
    <w:rsid w:val="724209A5"/>
    <w:rsid w:val="724237D0"/>
    <w:rsid w:val="725020D0"/>
    <w:rsid w:val="7254642B"/>
    <w:rsid w:val="72644B50"/>
    <w:rsid w:val="7266265D"/>
    <w:rsid w:val="727638D0"/>
    <w:rsid w:val="7283792A"/>
    <w:rsid w:val="728D3346"/>
    <w:rsid w:val="72954280"/>
    <w:rsid w:val="729750E7"/>
    <w:rsid w:val="72992A4D"/>
    <w:rsid w:val="72BE3881"/>
    <w:rsid w:val="72BF57C3"/>
    <w:rsid w:val="72D67A2D"/>
    <w:rsid w:val="72D76021"/>
    <w:rsid w:val="72DC25A3"/>
    <w:rsid w:val="72EA5D7E"/>
    <w:rsid w:val="72EE0105"/>
    <w:rsid w:val="72F74C33"/>
    <w:rsid w:val="72F9552B"/>
    <w:rsid w:val="72FD7049"/>
    <w:rsid w:val="73006006"/>
    <w:rsid w:val="73011B59"/>
    <w:rsid w:val="7309684B"/>
    <w:rsid w:val="730A3851"/>
    <w:rsid w:val="730B6F2F"/>
    <w:rsid w:val="731128CC"/>
    <w:rsid w:val="731318B9"/>
    <w:rsid w:val="73242E7F"/>
    <w:rsid w:val="73276667"/>
    <w:rsid w:val="7336145E"/>
    <w:rsid w:val="734437EB"/>
    <w:rsid w:val="734B370A"/>
    <w:rsid w:val="7353360F"/>
    <w:rsid w:val="73560149"/>
    <w:rsid w:val="73724005"/>
    <w:rsid w:val="7373265F"/>
    <w:rsid w:val="73800CF4"/>
    <w:rsid w:val="738113F8"/>
    <w:rsid w:val="738A2CFB"/>
    <w:rsid w:val="739A35C4"/>
    <w:rsid w:val="739D2508"/>
    <w:rsid w:val="73AF5980"/>
    <w:rsid w:val="73AF6625"/>
    <w:rsid w:val="73BF1FE6"/>
    <w:rsid w:val="73C019B2"/>
    <w:rsid w:val="73D66911"/>
    <w:rsid w:val="73D76407"/>
    <w:rsid w:val="73DB2D56"/>
    <w:rsid w:val="73DF3AC1"/>
    <w:rsid w:val="73E207F9"/>
    <w:rsid w:val="73F55546"/>
    <w:rsid w:val="74010F8E"/>
    <w:rsid w:val="7427130A"/>
    <w:rsid w:val="742F26FF"/>
    <w:rsid w:val="743D582C"/>
    <w:rsid w:val="74501D70"/>
    <w:rsid w:val="745813F7"/>
    <w:rsid w:val="74771D29"/>
    <w:rsid w:val="747C6477"/>
    <w:rsid w:val="7485768E"/>
    <w:rsid w:val="748C27AE"/>
    <w:rsid w:val="74936C28"/>
    <w:rsid w:val="74A06674"/>
    <w:rsid w:val="74A33B05"/>
    <w:rsid w:val="74A55008"/>
    <w:rsid w:val="74A7775A"/>
    <w:rsid w:val="74A77CB8"/>
    <w:rsid w:val="74AC24F1"/>
    <w:rsid w:val="74AD5A16"/>
    <w:rsid w:val="74AE74D6"/>
    <w:rsid w:val="74B270BE"/>
    <w:rsid w:val="74BD2524"/>
    <w:rsid w:val="74C947F1"/>
    <w:rsid w:val="74D20712"/>
    <w:rsid w:val="74D24D9F"/>
    <w:rsid w:val="74D3643E"/>
    <w:rsid w:val="74D63958"/>
    <w:rsid w:val="74E76564"/>
    <w:rsid w:val="750B6F20"/>
    <w:rsid w:val="750E61C2"/>
    <w:rsid w:val="75111F82"/>
    <w:rsid w:val="7514534C"/>
    <w:rsid w:val="751E7FE9"/>
    <w:rsid w:val="75432877"/>
    <w:rsid w:val="75435125"/>
    <w:rsid w:val="755B78E1"/>
    <w:rsid w:val="75623A00"/>
    <w:rsid w:val="75662011"/>
    <w:rsid w:val="757F03CB"/>
    <w:rsid w:val="758A16D8"/>
    <w:rsid w:val="758C6022"/>
    <w:rsid w:val="759816C2"/>
    <w:rsid w:val="75AD33AA"/>
    <w:rsid w:val="75CC314B"/>
    <w:rsid w:val="75CF501D"/>
    <w:rsid w:val="75D830A1"/>
    <w:rsid w:val="75D908C0"/>
    <w:rsid w:val="75DF12FB"/>
    <w:rsid w:val="75F35468"/>
    <w:rsid w:val="75F927BF"/>
    <w:rsid w:val="75FA230F"/>
    <w:rsid w:val="75FE65AB"/>
    <w:rsid w:val="76022EFB"/>
    <w:rsid w:val="76071844"/>
    <w:rsid w:val="76164850"/>
    <w:rsid w:val="762C0BA6"/>
    <w:rsid w:val="763B621E"/>
    <w:rsid w:val="763C5C66"/>
    <w:rsid w:val="76450C77"/>
    <w:rsid w:val="764F49E5"/>
    <w:rsid w:val="765C728A"/>
    <w:rsid w:val="765E1935"/>
    <w:rsid w:val="766F51FC"/>
    <w:rsid w:val="768C232C"/>
    <w:rsid w:val="768F523F"/>
    <w:rsid w:val="769471CA"/>
    <w:rsid w:val="76995BC0"/>
    <w:rsid w:val="769E4E5E"/>
    <w:rsid w:val="76A01ADA"/>
    <w:rsid w:val="76A13F8B"/>
    <w:rsid w:val="76A555D1"/>
    <w:rsid w:val="76AB2C1F"/>
    <w:rsid w:val="76B35847"/>
    <w:rsid w:val="76C34729"/>
    <w:rsid w:val="76C70E64"/>
    <w:rsid w:val="76CA355A"/>
    <w:rsid w:val="76CA3904"/>
    <w:rsid w:val="76E25C9B"/>
    <w:rsid w:val="76E37595"/>
    <w:rsid w:val="76EE04C1"/>
    <w:rsid w:val="76FA282A"/>
    <w:rsid w:val="76FC20FC"/>
    <w:rsid w:val="76FD5A52"/>
    <w:rsid w:val="77184DCF"/>
    <w:rsid w:val="771C396C"/>
    <w:rsid w:val="772728C8"/>
    <w:rsid w:val="772845E2"/>
    <w:rsid w:val="77284CF6"/>
    <w:rsid w:val="77287CBA"/>
    <w:rsid w:val="77312D26"/>
    <w:rsid w:val="7732162C"/>
    <w:rsid w:val="773363AF"/>
    <w:rsid w:val="77357E5A"/>
    <w:rsid w:val="773905FC"/>
    <w:rsid w:val="773A57D5"/>
    <w:rsid w:val="774279EE"/>
    <w:rsid w:val="77455C59"/>
    <w:rsid w:val="77606015"/>
    <w:rsid w:val="77656A8C"/>
    <w:rsid w:val="776C7621"/>
    <w:rsid w:val="776D4A00"/>
    <w:rsid w:val="77826018"/>
    <w:rsid w:val="77847EAD"/>
    <w:rsid w:val="77850860"/>
    <w:rsid w:val="77896BCB"/>
    <w:rsid w:val="7794317F"/>
    <w:rsid w:val="77985B42"/>
    <w:rsid w:val="77A64271"/>
    <w:rsid w:val="77A87048"/>
    <w:rsid w:val="77B2694D"/>
    <w:rsid w:val="77B323EE"/>
    <w:rsid w:val="77BA53B2"/>
    <w:rsid w:val="77C14A00"/>
    <w:rsid w:val="77C7650C"/>
    <w:rsid w:val="77E347ED"/>
    <w:rsid w:val="77EC6E97"/>
    <w:rsid w:val="77F164B2"/>
    <w:rsid w:val="77F310D3"/>
    <w:rsid w:val="77F318FF"/>
    <w:rsid w:val="77FB3BB1"/>
    <w:rsid w:val="78011D13"/>
    <w:rsid w:val="781078A2"/>
    <w:rsid w:val="78400BC7"/>
    <w:rsid w:val="78456390"/>
    <w:rsid w:val="784E30FD"/>
    <w:rsid w:val="784E7432"/>
    <w:rsid w:val="785A19D6"/>
    <w:rsid w:val="786A1534"/>
    <w:rsid w:val="787C34FE"/>
    <w:rsid w:val="78813C00"/>
    <w:rsid w:val="7882796D"/>
    <w:rsid w:val="788A4B70"/>
    <w:rsid w:val="78993D94"/>
    <w:rsid w:val="789E7EC4"/>
    <w:rsid w:val="78A8463B"/>
    <w:rsid w:val="78AD3CED"/>
    <w:rsid w:val="78B5238F"/>
    <w:rsid w:val="78C46358"/>
    <w:rsid w:val="78C83049"/>
    <w:rsid w:val="78C857FE"/>
    <w:rsid w:val="78CB65EE"/>
    <w:rsid w:val="78D2211D"/>
    <w:rsid w:val="78DD4AB0"/>
    <w:rsid w:val="78E8509F"/>
    <w:rsid w:val="7911687B"/>
    <w:rsid w:val="79181A3D"/>
    <w:rsid w:val="79306795"/>
    <w:rsid w:val="7935113E"/>
    <w:rsid w:val="795F7256"/>
    <w:rsid w:val="797F3D13"/>
    <w:rsid w:val="79874FA1"/>
    <w:rsid w:val="798D54BA"/>
    <w:rsid w:val="799654C6"/>
    <w:rsid w:val="79A20737"/>
    <w:rsid w:val="79A730BA"/>
    <w:rsid w:val="79C02390"/>
    <w:rsid w:val="79C86B1C"/>
    <w:rsid w:val="79CA2198"/>
    <w:rsid w:val="79D903F6"/>
    <w:rsid w:val="79E41B72"/>
    <w:rsid w:val="79E671A3"/>
    <w:rsid w:val="79FA6238"/>
    <w:rsid w:val="79FF295D"/>
    <w:rsid w:val="7A075E3C"/>
    <w:rsid w:val="7A25400F"/>
    <w:rsid w:val="7A441126"/>
    <w:rsid w:val="7A4A278C"/>
    <w:rsid w:val="7A4C2A71"/>
    <w:rsid w:val="7A894724"/>
    <w:rsid w:val="7A8C5B34"/>
    <w:rsid w:val="7A960DC6"/>
    <w:rsid w:val="7A99514E"/>
    <w:rsid w:val="7AA34FBF"/>
    <w:rsid w:val="7AAB39ED"/>
    <w:rsid w:val="7AB12624"/>
    <w:rsid w:val="7AB15519"/>
    <w:rsid w:val="7AB356D4"/>
    <w:rsid w:val="7AC04C53"/>
    <w:rsid w:val="7ACD15D2"/>
    <w:rsid w:val="7ACF2473"/>
    <w:rsid w:val="7AD67703"/>
    <w:rsid w:val="7AD95C20"/>
    <w:rsid w:val="7AE324CC"/>
    <w:rsid w:val="7AE71FEF"/>
    <w:rsid w:val="7AFF2558"/>
    <w:rsid w:val="7AFF3491"/>
    <w:rsid w:val="7B01591E"/>
    <w:rsid w:val="7B087801"/>
    <w:rsid w:val="7B1B72BD"/>
    <w:rsid w:val="7B2439E2"/>
    <w:rsid w:val="7B3002D1"/>
    <w:rsid w:val="7B32711E"/>
    <w:rsid w:val="7B356969"/>
    <w:rsid w:val="7B4219C4"/>
    <w:rsid w:val="7B5752EF"/>
    <w:rsid w:val="7B5A478D"/>
    <w:rsid w:val="7B5C63B0"/>
    <w:rsid w:val="7B625B2F"/>
    <w:rsid w:val="7B6B251A"/>
    <w:rsid w:val="7B6B6DF1"/>
    <w:rsid w:val="7B7773F6"/>
    <w:rsid w:val="7B8544D4"/>
    <w:rsid w:val="7B8545D4"/>
    <w:rsid w:val="7B88664B"/>
    <w:rsid w:val="7B8D5281"/>
    <w:rsid w:val="7B920F91"/>
    <w:rsid w:val="7B98164C"/>
    <w:rsid w:val="7B9F5F6B"/>
    <w:rsid w:val="7BA945DD"/>
    <w:rsid w:val="7BB267CA"/>
    <w:rsid w:val="7BB55BB3"/>
    <w:rsid w:val="7BB73A43"/>
    <w:rsid w:val="7BC33F40"/>
    <w:rsid w:val="7BC5726F"/>
    <w:rsid w:val="7BCB77BA"/>
    <w:rsid w:val="7BDA2F64"/>
    <w:rsid w:val="7BE92F82"/>
    <w:rsid w:val="7BF22A55"/>
    <w:rsid w:val="7BF34A9E"/>
    <w:rsid w:val="7BFF088B"/>
    <w:rsid w:val="7C0A237A"/>
    <w:rsid w:val="7C1E2E8D"/>
    <w:rsid w:val="7C2B4F5B"/>
    <w:rsid w:val="7C3F0259"/>
    <w:rsid w:val="7C416CC2"/>
    <w:rsid w:val="7C424F85"/>
    <w:rsid w:val="7C464030"/>
    <w:rsid w:val="7C5739F3"/>
    <w:rsid w:val="7C7E3011"/>
    <w:rsid w:val="7C7E616B"/>
    <w:rsid w:val="7C81576A"/>
    <w:rsid w:val="7CA85164"/>
    <w:rsid w:val="7CAA3F8A"/>
    <w:rsid w:val="7CAD20DE"/>
    <w:rsid w:val="7CB65DFB"/>
    <w:rsid w:val="7CB80A2D"/>
    <w:rsid w:val="7CBC046E"/>
    <w:rsid w:val="7CD02DCD"/>
    <w:rsid w:val="7CD421D6"/>
    <w:rsid w:val="7CD913C8"/>
    <w:rsid w:val="7CF10B9E"/>
    <w:rsid w:val="7CF37FE3"/>
    <w:rsid w:val="7CF925B5"/>
    <w:rsid w:val="7CF94807"/>
    <w:rsid w:val="7D013E6D"/>
    <w:rsid w:val="7D1234E0"/>
    <w:rsid w:val="7D1D6C35"/>
    <w:rsid w:val="7D1E6BBF"/>
    <w:rsid w:val="7D36229A"/>
    <w:rsid w:val="7D3F1077"/>
    <w:rsid w:val="7D445FA0"/>
    <w:rsid w:val="7D453E16"/>
    <w:rsid w:val="7D48020C"/>
    <w:rsid w:val="7D4D21D5"/>
    <w:rsid w:val="7D5447D6"/>
    <w:rsid w:val="7D67064A"/>
    <w:rsid w:val="7D6865C0"/>
    <w:rsid w:val="7D68678C"/>
    <w:rsid w:val="7D6B7E9E"/>
    <w:rsid w:val="7D766193"/>
    <w:rsid w:val="7D7969A9"/>
    <w:rsid w:val="7D86539C"/>
    <w:rsid w:val="7D9121E7"/>
    <w:rsid w:val="7D945B64"/>
    <w:rsid w:val="7D9B6510"/>
    <w:rsid w:val="7DA02E78"/>
    <w:rsid w:val="7DAD5065"/>
    <w:rsid w:val="7DB0756F"/>
    <w:rsid w:val="7DC27374"/>
    <w:rsid w:val="7DD5541E"/>
    <w:rsid w:val="7DD554C8"/>
    <w:rsid w:val="7DDA716F"/>
    <w:rsid w:val="7DF347EC"/>
    <w:rsid w:val="7E002F42"/>
    <w:rsid w:val="7E066969"/>
    <w:rsid w:val="7E092F67"/>
    <w:rsid w:val="7E106FE3"/>
    <w:rsid w:val="7E2C1A9A"/>
    <w:rsid w:val="7E2C7914"/>
    <w:rsid w:val="7E3561D1"/>
    <w:rsid w:val="7E38219B"/>
    <w:rsid w:val="7E44724A"/>
    <w:rsid w:val="7E474333"/>
    <w:rsid w:val="7E4E2F7C"/>
    <w:rsid w:val="7E4E68C6"/>
    <w:rsid w:val="7E5C3503"/>
    <w:rsid w:val="7E666319"/>
    <w:rsid w:val="7E6977DC"/>
    <w:rsid w:val="7E6F1660"/>
    <w:rsid w:val="7E80291B"/>
    <w:rsid w:val="7E9156A0"/>
    <w:rsid w:val="7EA44116"/>
    <w:rsid w:val="7EC6491B"/>
    <w:rsid w:val="7EC74899"/>
    <w:rsid w:val="7EC845FF"/>
    <w:rsid w:val="7EC910BA"/>
    <w:rsid w:val="7ED0352B"/>
    <w:rsid w:val="7ED16AF4"/>
    <w:rsid w:val="7EDE6E1E"/>
    <w:rsid w:val="7F121C25"/>
    <w:rsid w:val="7F1A0906"/>
    <w:rsid w:val="7F235263"/>
    <w:rsid w:val="7F2C5B3D"/>
    <w:rsid w:val="7F325A4A"/>
    <w:rsid w:val="7F4171D8"/>
    <w:rsid w:val="7F444416"/>
    <w:rsid w:val="7F534C26"/>
    <w:rsid w:val="7F543D11"/>
    <w:rsid w:val="7F55359B"/>
    <w:rsid w:val="7F715887"/>
    <w:rsid w:val="7F7D6029"/>
    <w:rsid w:val="7F89328F"/>
    <w:rsid w:val="7FAB49EE"/>
    <w:rsid w:val="7FBC36FF"/>
    <w:rsid w:val="7FC44659"/>
    <w:rsid w:val="7FD01C3C"/>
    <w:rsid w:val="7FD854E3"/>
    <w:rsid w:val="7FDC193E"/>
    <w:rsid w:val="7FE175B3"/>
    <w:rsid w:val="7FE9338C"/>
    <w:rsid w:val="7FF117BA"/>
    <w:rsid w:val="7FF12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5"/>
    <w:link w:val="44"/>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5">
    <w:name w:val="正文缩进2字符"/>
    <w:basedOn w:val="1"/>
    <w:qFormat/>
    <w:uiPriority w:val="0"/>
    <w:pPr>
      <w:widowControl/>
      <w:spacing w:before="100" w:beforeAutospacing="1" w:after="100" w:afterAutospacing="1" w:line="300" w:lineRule="auto"/>
      <w:ind w:left="357" w:firstLine="420" w:firstLineChars="200"/>
      <w:jc w:val="left"/>
    </w:pPr>
    <w:rPr>
      <w:rFonts w:ascii="ˎ̥" w:hAnsi="ˎ̥"/>
      <w:color w:val="51585D"/>
      <w:kern w:val="0"/>
      <w:sz w:val="20"/>
    </w:rPr>
  </w:style>
  <w:style w:type="paragraph" w:styleId="6">
    <w:name w:val="Document Map"/>
    <w:basedOn w:val="1"/>
    <w:link w:val="58"/>
    <w:semiHidden/>
    <w:unhideWhenUsed/>
    <w:qFormat/>
    <w:uiPriority w:val="99"/>
    <w:rPr>
      <w:rFonts w:ascii="宋体"/>
      <w:sz w:val="18"/>
      <w:szCs w:val="18"/>
    </w:rPr>
  </w:style>
  <w:style w:type="paragraph" w:styleId="7">
    <w:name w:val="annotation text"/>
    <w:basedOn w:val="1"/>
    <w:link w:val="35"/>
    <w:unhideWhenUsed/>
    <w:qFormat/>
    <w:uiPriority w:val="99"/>
    <w:pPr>
      <w:jc w:val="left"/>
    </w:pPr>
  </w:style>
  <w:style w:type="paragraph" w:styleId="8">
    <w:name w:val="Body Text"/>
    <w:basedOn w:val="1"/>
    <w:link w:val="30"/>
    <w:qFormat/>
    <w:uiPriority w:val="0"/>
    <w:pPr>
      <w:spacing w:after="120" w:line="360" w:lineRule="auto"/>
      <w:ind w:firstLine="454"/>
    </w:pPr>
    <w:rPr>
      <w:rFonts w:ascii="Times New Roman" w:hAnsi="Times New Roman"/>
      <w:szCs w:val="20"/>
    </w:rPr>
  </w:style>
  <w:style w:type="paragraph" w:styleId="9">
    <w:name w:val="Body Text Indent"/>
    <w:basedOn w:val="1"/>
    <w:unhideWhenUsed/>
    <w:qFormat/>
    <w:uiPriority w:val="99"/>
    <w:pPr>
      <w:spacing w:after="120"/>
      <w:ind w:left="420" w:leftChars="200"/>
    </w:pPr>
  </w:style>
  <w:style w:type="paragraph" w:styleId="10">
    <w:name w:val="Plain Text"/>
    <w:basedOn w:val="1"/>
    <w:link w:val="51"/>
    <w:qFormat/>
    <w:uiPriority w:val="0"/>
    <w:pPr>
      <w:spacing w:line="360" w:lineRule="auto"/>
    </w:pPr>
    <w:rPr>
      <w:rFonts w:ascii="宋体" w:hAnsi="Courier New"/>
      <w:kern w:val="0"/>
      <w:sz w:val="20"/>
      <w:szCs w:val="20"/>
    </w:rPr>
  </w:style>
  <w:style w:type="paragraph" w:styleId="11">
    <w:name w:val="Balloon Text"/>
    <w:basedOn w:val="1"/>
    <w:link w:val="37"/>
    <w:unhideWhenUsed/>
    <w:qFormat/>
    <w:uiPriority w:val="99"/>
    <w:rPr>
      <w:sz w:val="18"/>
      <w:szCs w:val="18"/>
    </w:rPr>
  </w:style>
  <w:style w:type="paragraph" w:styleId="12">
    <w:name w:val="footer"/>
    <w:basedOn w:val="1"/>
    <w:link w:val="2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style>
  <w:style w:type="paragraph" w:styleId="15">
    <w:name w:val="Normal (Web)"/>
    <w:basedOn w:val="1"/>
    <w:qFormat/>
    <w:uiPriority w:val="0"/>
  </w:style>
  <w:style w:type="paragraph" w:styleId="16">
    <w:name w:val="annotation subject"/>
    <w:basedOn w:val="7"/>
    <w:next w:val="7"/>
    <w:link w:val="36"/>
    <w:unhideWhenUsed/>
    <w:qFormat/>
    <w:uiPriority w:val="99"/>
    <w:rPr>
      <w:b/>
      <w:bCs/>
    </w:rPr>
  </w:style>
  <w:style w:type="paragraph" w:styleId="17">
    <w:name w:val="Body Text First Indent"/>
    <w:basedOn w:val="8"/>
    <w:link w:val="39"/>
    <w:unhideWhenUsed/>
    <w:qFormat/>
    <w:uiPriority w:val="99"/>
    <w:pPr>
      <w:spacing w:line="240" w:lineRule="auto"/>
      <w:ind w:firstLine="420" w:firstLineChars="100"/>
    </w:pPr>
    <w:rPr>
      <w:rFonts w:ascii="Calibri" w:hAnsi="Calibri"/>
      <w:szCs w:val="22"/>
    </w:rPr>
  </w:style>
  <w:style w:type="paragraph" w:styleId="18">
    <w:name w:val="Body Text First Indent 2"/>
    <w:basedOn w:val="9"/>
    <w:autoRedefine/>
    <w:unhideWhenUsed/>
    <w:qFormat/>
    <w:uiPriority w:val="99"/>
    <w:pPr>
      <w:ind w:firstLine="420" w:firstLineChars="200"/>
    </w:pPr>
    <w:rPr>
      <w:rFonts w:ascii="Times New Roman" w:hAnsi="Times New Roman"/>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Emphasis"/>
    <w:basedOn w:val="21"/>
    <w:qFormat/>
    <w:uiPriority w:val="20"/>
    <w:rPr>
      <w:i/>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标题 1 字符"/>
    <w:basedOn w:val="21"/>
    <w:link w:val="2"/>
    <w:qFormat/>
    <w:uiPriority w:val="0"/>
    <w:rPr>
      <w:rFonts w:ascii="Calibri" w:hAnsi="Calibri" w:eastAsia="宋体" w:cs="Times New Roman"/>
      <w:b/>
      <w:bCs/>
      <w:kern w:val="44"/>
      <w:sz w:val="44"/>
      <w:szCs w:val="44"/>
    </w:rPr>
  </w:style>
  <w:style w:type="character" w:customStyle="1" w:styleId="27">
    <w:name w:val="标题 2 字符"/>
    <w:basedOn w:val="21"/>
    <w:link w:val="3"/>
    <w:qFormat/>
    <w:uiPriority w:val="0"/>
    <w:rPr>
      <w:rFonts w:ascii="宋体" w:hAnsi="宋体" w:eastAsia="宋体" w:cs="宋体"/>
      <w:b/>
      <w:bCs/>
      <w:kern w:val="0"/>
      <w:sz w:val="36"/>
      <w:szCs w:val="36"/>
    </w:rPr>
  </w:style>
  <w:style w:type="character" w:customStyle="1" w:styleId="28">
    <w:name w:val="页脚 字符"/>
    <w:link w:val="12"/>
    <w:qFormat/>
    <w:uiPriority w:val="0"/>
    <w:rPr>
      <w:sz w:val="18"/>
      <w:szCs w:val="18"/>
    </w:rPr>
  </w:style>
  <w:style w:type="character" w:customStyle="1" w:styleId="29">
    <w:name w:val="页眉 字符"/>
    <w:link w:val="13"/>
    <w:autoRedefine/>
    <w:qFormat/>
    <w:uiPriority w:val="0"/>
    <w:rPr>
      <w:sz w:val="18"/>
      <w:szCs w:val="18"/>
    </w:rPr>
  </w:style>
  <w:style w:type="character" w:customStyle="1" w:styleId="30">
    <w:name w:val="正文文本 字符"/>
    <w:basedOn w:val="21"/>
    <w:link w:val="8"/>
    <w:qFormat/>
    <w:uiPriority w:val="0"/>
    <w:rPr>
      <w:rFonts w:ascii="Times New Roman" w:hAnsi="Times New Roman" w:eastAsia="宋体" w:cs="Times New Roman"/>
      <w:sz w:val="24"/>
      <w:szCs w:val="20"/>
    </w:rPr>
  </w:style>
  <w:style w:type="character" w:customStyle="1" w:styleId="31">
    <w:name w:val="页脚 Char1"/>
    <w:basedOn w:val="21"/>
    <w:semiHidden/>
    <w:qFormat/>
    <w:uiPriority w:val="99"/>
    <w:rPr>
      <w:rFonts w:ascii="Calibri" w:hAnsi="Calibri" w:eastAsia="宋体" w:cs="Times New Roman"/>
      <w:sz w:val="18"/>
      <w:szCs w:val="18"/>
    </w:rPr>
  </w:style>
  <w:style w:type="character" w:customStyle="1" w:styleId="32">
    <w:name w:val="页眉 Char1"/>
    <w:basedOn w:val="21"/>
    <w:semiHidden/>
    <w:qFormat/>
    <w:uiPriority w:val="99"/>
    <w:rPr>
      <w:rFonts w:ascii="Calibri" w:hAnsi="Calibri" w:eastAsia="宋体" w:cs="Times New Roman"/>
      <w:sz w:val="18"/>
      <w:szCs w:val="18"/>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34"/>
    <w:pPr>
      <w:ind w:firstLine="420" w:firstLineChars="200"/>
    </w:pPr>
  </w:style>
  <w:style w:type="character" w:customStyle="1" w:styleId="35">
    <w:name w:val="批注文字 字符"/>
    <w:basedOn w:val="21"/>
    <w:link w:val="7"/>
    <w:semiHidden/>
    <w:qFormat/>
    <w:uiPriority w:val="99"/>
    <w:rPr>
      <w:rFonts w:ascii="Calibri" w:hAnsi="Calibri" w:eastAsia="宋体" w:cs="Times New Roman"/>
    </w:rPr>
  </w:style>
  <w:style w:type="character" w:customStyle="1" w:styleId="36">
    <w:name w:val="批注主题 字符"/>
    <w:basedOn w:val="35"/>
    <w:link w:val="16"/>
    <w:semiHidden/>
    <w:qFormat/>
    <w:uiPriority w:val="99"/>
    <w:rPr>
      <w:rFonts w:ascii="Calibri" w:hAnsi="Calibri" w:eastAsia="宋体" w:cs="Times New Roman"/>
      <w:b/>
      <w:bCs/>
    </w:rPr>
  </w:style>
  <w:style w:type="character" w:customStyle="1" w:styleId="37">
    <w:name w:val="批注框文本 字符"/>
    <w:basedOn w:val="21"/>
    <w:link w:val="11"/>
    <w:semiHidden/>
    <w:qFormat/>
    <w:uiPriority w:val="99"/>
    <w:rPr>
      <w:rFonts w:ascii="Calibri" w:hAnsi="Calibri" w:eastAsia="宋体" w:cs="Times New Roman"/>
      <w:sz w:val="18"/>
      <w:szCs w:val="18"/>
    </w:rPr>
  </w:style>
  <w:style w:type="paragraph" w:customStyle="1" w:styleId="38">
    <w:name w:val="列出段落21"/>
    <w:basedOn w:val="1"/>
    <w:qFormat/>
    <w:uiPriority w:val="34"/>
    <w:pPr>
      <w:ind w:firstLine="420" w:firstLineChars="200"/>
    </w:pPr>
  </w:style>
  <w:style w:type="character" w:customStyle="1" w:styleId="39">
    <w:name w:val="正文文本首行缩进 字符"/>
    <w:basedOn w:val="30"/>
    <w:link w:val="17"/>
    <w:autoRedefine/>
    <w:semiHidden/>
    <w:qFormat/>
    <w:uiPriority w:val="99"/>
    <w:rPr>
      <w:rFonts w:ascii="Calibri" w:hAnsi="Calibri" w:eastAsia="宋体" w:cs="Times New Roman"/>
      <w:sz w:val="24"/>
      <w:szCs w:val="20"/>
    </w:rPr>
  </w:style>
  <w:style w:type="paragraph" w:customStyle="1" w:styleId="40">
    <w:name w:val="Table Text"/>
    <w:link w:val="41"/>
    <w:autoRedefine/>
    <w:qFormat/>
    <w:uiPriority w:val="0"/>
    <w:pPr>
      <w:snapToGrid w:val="0"/>
      <w:spacing w:before="80" w:after="80"/>
    </w:pPr>
    <w:rPr>
      <w:rFonts w:ascii="Arial" w:hAnsi="Arial" w:eastAsia="宋体" w:cs="Arial"/>
      <w:kern w:val="2"/>
      <w:sz w:val="18"/>
      <w:szCs w:val="18"/>
      <w:lang w:val="en-US" w:eastAsia="zh-CN" w:bidi="ar-SA"/>
    </w:rPr>
  </w:style>
  <w:style w:type="character" w:customStyle="1" w:styleId="41">
    <w:name w:val="Table Text Char"/>
    <w:basedOn w:val="21"/>
    <w:link w:val="40"/>
    <w:qFormat/>
    <w:uiPriority w:val="0"/>
    <w:rPr>
      <w:rFonts w:ascii="Arial" w:hAnsi="Arial" w:eastAsia="宋体" w:cs="Arial"/>
      <w:sz w:val="18"/>
      <w:szCs w:val="18"/>
    </w:rPr>
  </w:style>
  <w:style w:type="paragraph" w:customStyle="1" w:styleId="42">
    <w:name w:val="Table Heading"/>
    <w:link w:val="43"/>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43">
    <w:name w:val="Table Heading Char"/>
    <w:basedOn w:val="21"/>
    <w:link w:val="42"/>
    <w:qFormat/>
    <w:uiPriority w:val="0"/>
    <w:rPr>
      <w:rFonts w:ascii="Arial" w:hAnsi="Arial" w:eastAsia="黑体" w:cs="Arial"/>
      <w:sz w:val="18"/>
      <w:szCs w:val="18"/>
    </w:rPr>
  </w:style>
  <w:style w:type="character" w:customStyle="1" w:styleId="44">
    <w:name w:val="标题 3 字符"/>
    <w:basedOn w:val="21"/>
    <w:link w:val="4"/>
    <w:qFormat/>
    <w:uiPriority w:val="9"/>
    <w:rPr>
      <w:rFonts w:ascii="Calibri" w:hAnsi="Calibri" w:eastAsia="宋体" w:cs="Times New Roman"/>
      <w:b/>
      <w:bCs/>
      <w:sz w:val="32"/>
      <w:szCs w:val="32"/>
    </w:rPr>
  </w:style>
  <w:style w:type="paragraph" w:customStyle="1" w:styleId="45">
    <w:name w:val="Table Paragraph"/>
    <w:basedOn w:val="1"/>
    <w:qFormat/>
    <w:uiPriority w:val="1"/>
    <w:pPr>
      <w:spacing w:line="214" w:lineRule="exact"/>
      <w:ind w:left="1422"/>
    </w:pPr>
    <w:rPr>
      <w:rFonts w:ascii="Noto Sans CJK JP Regular" w:hAnsi="Noto Sans CJK JP Regular" w:eastAsia="Noto Sans CJK JP Regular" w:cs="Noto Sans CJK JP Regular"/>
    </w:rPr>
  </w:style>
  <w:style w:type="character" w:customStyle="1" w:styleId="46">
    <w:name w:val="Default Char"/>
    <w:link w:val="47"/>
    <w:qFormat/>
    <w:uiPriority w:val="0"/>
    <w:rPr>
      <w:rFonts w:ascii="黑体" w:eastAsia="黑体" w:cs="黑体"/>
      <w:color w:val="000000"/>
      <w:sz w:val="24"/>
      <w:szCs w:val="24"/>
    </w:rPr>
  </w:style>
  <w:style w:type="paragraph" w:customStyle="1" w:styleId="47">
    <w:name w:val="Default"/>
    <w:link w:val="46"/>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48">
    <w:name w:val="List Paragraph"/>
    <w:basedOn w:val="1"/>
    <w:link w:val="49"/>
    <w:qFormat/>
    <w:uiPriority w:val="0"/>
    <w:pPr>
      <w:ind w:firstLine="420" w:firstLineChars="200"/>
    </w:pPr>
  </w:style>
  <w:style w:type="character" w:customStyle="1" w:styleId="49">
    <w:name w:val="列表段落 字符"/>
    <w:link w:val="48"/>
    <w:qFormat/>
    <w:uiPriority w:val="0"/>
    <w:rPr>
      <w:rFonts w:ascii="Calibri" w:hAnsi="Calibri" w:eastAsia="宋体" w:cs="Times New Roman"/>
      <w:kern w:val="2"/>
      <w:sz w:val="24"/>
      <w:szCs w:val="22"/>
    </w:rPr>
  </w:style>
  <w:style w:type="paragraph" w:customStyle="1" w:styleId="50">
    <w:name w:val="Head2 Para"/>
    <w:basedOn w:val="1"/>
    <w:qFormat/>
    <w:uiPriority w:val="0"/>
    <w:pPr>
      <w:widowControl/>
      <w:spacing w:line="400" w:lineRule="exact"/>
      <w:ind w:left="284"/>
      <w:jc w:val="left"/>
    </w:pPr>
    <w:rPr>
      <w:rFonts w:ascii="宋体" w:hAnsi="Times New Roman" w:cs="宋体"/>
      <w:bCs/>
      <w:kern w:val="0"/>
      <w:sz w:val="22"/>
    </w:rPr>
  </w:style>
  <w:style w:type="character" w:customStyle="1" w:styleId="51">
    <w:name w:val="纯文本 字符"/>
    <w:link w:val="10"/>
    <w:qFormat/>
    <w:uiPriority w:val="0"/>
    <w:rPr>
      <w:rFonts w:ascii="宋体" w:hAnsi="Courier New"/>
    </w:rPr>
  </w:style>
  <w:style w:type="character" w:customStyle="1" w:styleId="52">
    <w:name w:val="纯文本 字符1"/>
    <w:basedOn w:val="21"/>
    <w:autoRedefine/>
    <w:semiHidden/>
    <w:qFormat/>
    <w:uiPriority w:val="99"/>
    <w:rPr>
      <w:rFonts w:hAnsi="Courier New" w:cs="Courier New" w:asciiTheme="minorEastAsia" w:eastAsiaTheme="minorEastAsia"/>
      <w:kern w:val="2"/>
      <w:sz w:val="24"/>
      <w:szCs w:val="22"/>
    </w:rPr>
  </w:style>
  <w:style w:type="character" w:customStyle="1" w:styleId="53">
    <w:name w:val="列出段落 字符1"/>
    <w:qFormat/>
    <w:uiPriority w:val="0"/>
    <w:rPr>
      <w:rFonts w:ascii="Calibri" w:hAnsi="Calibri" w:eastAsia="宋体" w:cs="Times New Roman"/>
      <w:kern w:val="2"/>
      <w:sz w:val="24"/>
      <w:szCs w:val="22"/>
    </w:rPr>
  </w:style>
  <w:style w:type="paragraph" w:customStyle="1" w:styleId="54">
    <w:name w:val="正文 New New New New New New New New New New New New New New New New New New New New New New New New New New New New New New New New"/>
    <w:qFormat/>
    <w:uiPriority w:val="0"/>
    <w:pPr>
      <w:widowControl w:val="0"/>
      <w:spacing w:line="240" w:lineRule="atLeast"/>
    </w:pPr>
    <w:rPr>
      <w:rFonts w:ascii="Calibri" w:hAnsi="Calibri" w:eastAsia="仿宋_GB2312" w:cs="Times New Roman"/>
      <w:kern w:val="2"/>
      <w:sz w:val="24"/>
      <w:szCs w:val="21"/>
      <w:lang w:val="en-US" w:eastAsia="zh-CN" w:bidi="ar-SA"/>
    </w:rPr>
  </w:style>
  <w:style w:type="paragraph" w:customStyle="1" w:styleId="5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_Style 52"/>
    <w:basedOn w:val="1"/>
    <w:next w:val="48"/>
    <w:qFormat/>
    <w:uiPriority w:val="34"/>
    <w:pPr>
      <w:ind w:firstLine="420" w:firstLineChars="200"/>
    </w:pPr>
    <w:rPr>
      <w:sz w:val="21"/>
    </w:rPr>
  </w:style>
  <w:style w:type="paragraph" w:customStyle="1" w:styleId="57">
    <w:name w:val="Body"/>
    <w:basedOn w:val="1"/>
    <w:qFormat/>
    <w:uiPriority w:val="0"/>
    <w:pPr>
      <w:spacing w:line="360" w:lineRule="auto"/>
      <w:ind w:firstLine="200" w:firstLineChars="200"/>
      <w:jc w:val="left"/>
    </w:pPr>
    <w:rPr>
      <w:rFonts w:ascii="宋体" w:hAnsi="宋体"/>
      <w:szCs w:val="24"/>
    </w:rPr>
  </w:style>
  <w:style w:type="character" w:customStyle="1" w:styleId="58">
    <w:name w:val="文档结构图 字符"/>
    <w:basedOn w:val="21"/>
    <w:link w:val="6"/>
    <w:autoRedefine/>
    <w:semiHidden/>
    <w:qFormat/>
    <w:uiPriority w:val="99"/>
    <w:rPr>
      <w:rFonts w:ascii="宋体" w:hAnsi="Calibri"/>
      <w:kern w:val="2"/>
      <w:sz w:val="18"/>
      <w:szCs w:val="18"/>
    </w:rPr>
  </w:style>
  <w:style w:type="paragraph" w:customStyle="1" w:styleId="59">
    <w:name w:val="Revision"/>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4.bin"/><Relationship Id="rId16" Type="http://schemas.openxmlformats.org/officeDocument/2006/relationships/image" Target="media/image5.emf"/><Relationship Id="rId15" Type="http://schemas.openxmlformats.org/officeDocument/2006/relationships/package" Target="embeddings/Document1.docx"/><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1B434-ACE2-459C-84AE-9CFCDC7B955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11954</Words>
  <Characters>12661</Characters>
  <Lines>99</Lines>
  <Paragraphs>27</Paragraphs>
  <TotalTime>132</TotalTime>
  <ScaleCrop>false</ScaleCrop>
  <LinksUpToDate>false</LinksUpToDate>
  <CharactersWithSpaces>12882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2018-09-13T15:16:00Z</dcterms:created>
  <dc:creator>Yuan</dc:creator>
  <cp:lastModifiedBy>吴家玮</cp:lastModifiedBy>
  <cp:lastPrinted>2018-09-13T15:25:00Z</cp:lastPrinted>
  <dcterms:modified xsi:type="dcterms:W3CDTF">2025-04-10T06:49:55Z</dcterms:modified>
  <cp:revision>3388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85BED97552FC4952858F92BBD094F1A5_13</vt:lpwstr>
  </property>
</Properties>
</file>