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82B110">
      <w:pPr>
        <w:pStyle w:val="10"/>
        <w:ind w:firstLine="0"/>
        <w:jc w:val="center"/>
        <w:rPr>
          <w:rFonts w:eastAsia="黑体"/>
          <w:b/>
          <w:kern w:val="28"/>
          <w:sz w:val="52"/>
        </w:rPr>
      </w:pPr>
    </w:p>
    <w:p w14:paraId="2FCF5C79">
      <w:pPr>
        <w:pStyle w:val="10"/>
        <w:ind w:firstLine="0"/>
        <w:jc w:val="center"/>
        <w:rPr>
          <w:rFonts w:eastAsia="黑体"/>
          <w:b/>
          <w:kern w:val="28"/>
          <w:sz w:val="52"/>
        </w:rPr>
      </w:pPr>
    </w:p>
    <w:p w14:paraId="411B677F">
      <w:pPr>
        <w:pStyle w:val="10"/>
        <w:ind w:firstLine="0"/>
        <w:jc w:val="center"/>
        <w:rPr>
          <w:rFonts w:hint="eastAsia" w:ascii="宋体" w:hAnsi="宋体" w:cs="宋体"/>
          <w:b/>
          <w:kern w:val="28"/>
          <w:sz w:val="52"/>
        </w:rPr>
      </w:pPr>
    </w:p>
    <w:p w14:paraId="535E4F4C">
      <w:pPr>
        <w:pStyle w:val="10"/>
        <w:ind w:firstLine="0"/>
        <w:jc w:val="center"/>
        <w:rPr>
          <w:rFonts w:hint="eastAsia" w:ascii="宋体" w:hAnsi="宋体" w:cs="宋体"/>
          <w:b/>
          <w:kern w:val="28"/>
          <w:sz w:val="52"/>
        </w:rPr>
      </w:pPr>
      <w:r>
        <w:rPr>
          <w:rFonts w:hint="eastAsia" w:ascii="宋体" w:hAnsi="宋体" w:cs="宋体"/>
          <w:b/>
          <w:kern w:val="28"/>
          <w:sz w:val="52"/>
        </w:rPr>
        <w:t>中天国富证券有限公司</w:t>
      </w:r>
    </w:p>
    <w:p w14:paraId="6415007B">
      <w:pPr>
        <w:pStyle w:val="10"/>
        <w:ind w:firstLine="0"/>
        <w:jc w:val="center"/>
        <w:rPr>
          <w:rFonts w:hint="eastAsia" w:ascii="宋体" w:hAnsi="宋体" w:cs="宋体"/>
          <w:b/>
          <w:kern w:val="28"/>
          <w:sz w:val="52"/>
        </w:rPr>
      </w:pPr>
    </w:p>
    <w:p w14:paraId="14C061C7">
      <w:pPr>
        <w:spacing w:before="652" w:beforeLines="200" w:after="652" w:afterLines="200"/>
        <w:jc w:val="center"/>
        <w:rPr>
          <w:rFonts w:hint="eastAsia" w:ascii="宋体" w:hAnsi="宋体" w:cs="宋体"/>
          <w:b/>
          <w:sz w:val="44"/>
          <w:szCs w:val="44"/>
        </w:rPr>
      </w:pPr>
    </w:p>
    <w:p w14:paraId="3373C2C5">
      <w:pPr>
        <w:jc w:val="center"/>
        <w:rPr>
          <w:rFonts w:hint="eastAsia" w:ascii="宋体" w:hAnsi="宋体" w:eastAsia="宋体" w:cs="宋体"/>
          <w:b/>
          <w:sz w:val="44"/>
          <w:szCs w:val="44"/>
          <w:lang w:eastAsia="zh-CN"/>
        </w:rPr>
      </w:pPr>
      <w:bookmarkStart w:id="49" w:name="_GoBack"/>
      <w:bookmarkEnd w:id="49"/>
      <w:r>
        <w:rPr>
          <w:rFonts w:hint="eastAsia" w:ascii="宋体" w:hAnsi="宋体" w:cs="宋体"/>
          <w:b/>
          <w:sz w:val="44"/>
          <w:szCs w:val="44"/>
          <w:lang w:eastAsia="zh-CN"/>
        </w:rPr>
        <w:t>IDC新一代网络升级项目三期</w:t>
      </w:r>
    </w:p>
    <w:p w14:paraId="7B03D13C">
      <w:pPr>
        <w:jc w:val="center"/>
        <w:rPr>
          <w:rFonts w:hint="eastAsia" w:ascii="宋体" w:hAnsi="宋体" w:cs="宋体"/>
          <w:b/>
          <w:sz w:val="44"/>
          <w:szCs w:val="44"/>
        </w:rPr>
      </w:pPr>
      <w:r>
        <w:rPr>
          <w:rFonts w:hint="eastAsia" w:ascii="宋体" w:hAnsi="宋体" w:cs="宋体"/>
          <w:b/>
          <w:sz w:val="44"/>
          <w:szCs w:val="44"/>
        </w:rPr>
        <w:t>采购招标书</w:t>
      </w:r>
    </w:p>
    <w:p w14:paraId="5C7EEA8C">
      <w:pPr>
        <w:widowControl/>
        <w:rPr>
          <w:rFonts w:hint="eastAsia" w:ascii="仿宋" w:hAnsi="仿宋" w:eastAsia="仿宋" w:cs="仿宋"/>
          <w:b/>
          <w:sz w:val="44"/>
          <w:szCs w:val="44"/>
        </w:rPr>
      </w:pPr>
      <w:r>
        <w:rPr>
          <w:rFonts w:hint="eastAsia" w:ascii="仿宋" w:hAnsi="仿宋" w:eastAsia="仿宋" w:cs="仿宋"/>
          <w:b/>
          <w:sz w:val="44"/>
          <w:szCs w:val="44"/>
        </w:rPr>
        <w:br w:type="page"/>
      </w:r>
    </w:p>
    <w:p w14:paraId="0BF8F187">
      <w:pPr>
        <w:spacing w:line="360" w:lineRule="auto"/>
        <w:jc w:val="center"/>
        <w:rPr>
          <w:rFonts w:hint="eastAsia" w:ascii="宋体" w:hAnsi="宋体"/>
          <w:b/>
          <w:sz w:val="30"/>
          <w:szCs w:val="30"/>
        </w:rPr>
      </w:pPr>
      <w:r>
        <w:rPr>
          <w:rFonts w:hint="eastAsia" w:ascii="宋体" w:hAnsi="宋体"/>
          <w:b/>
          <w:sz w:val="30"/>
          <w:szCs w:val="30"/>
        </w:rPr>
        <w:t>目 录</w:t>
      </w:r>
    </w:p>
    <w:p w14:paraId="68567466">
      <w:pPr>
        <w:pStyle w:val="15"/>
        <w:tabs>
          <w:tab w:val="left" w:pos="440"/>
          <w:tab w:val="right" w:leader="dot" w:pos="8296"/>
        </w:tabs>
        <w:rPr>
          <w:rFonts w:asciiTheme="minorHAnsi" w:hAnsiTheme="minorHAnsi" w:eastAsiaTheme="minorEastAsia" w:cstheme="minorBidi"/>
          <w:sz w:val="22"/>
          <w:szCs w:val="24"/>
        </w:rPr>
      </w:pPr>
      <w:r>
        <w:rPr>
          <w:rFonts w:hint="eastAsia" w:ascii="宋体" w:hAnsi="宋体" w:cs="宋体"/>
          <w:b/>
          <w:sz w:val="30"/>
          <w:szCs w:val="30"/>
        </w:rPr>
        <w:fldChar w:fldCharType="begin"/>
      </w:r>
      <w:r>
        <w:rPr>
          <w:rFonts w:hint="eastAsia" w:ascii="宋体" w:hAnsi="宋体" w:cs="宋体"/>
          <w:b/>
          <w:sz w:val="30"/>
          <w:szCs w:val="30"/>
        </w:rPr>
        <w:instrText xml:space="preserve"> TOC \o "1-1" \h \z \u </w:instrText>
      </w:r>
      <w:r>
        <w:rPr>
          <w:rFonts w:hint="eastAsia" w:ascii="宋体" w:hAnsi="宋体" w:cs="宋体"/>
          <w:b/>
          <w:sz w:val="30"/>
          <w:szCs w:val="30"/>
        </w:rPr>
        <w:fldChar w:fldCharType="separate"/>
      </w:r>
      <w:r>
        <w:fldChar w:fldCharType="begin"/>
      </w:r>
      <w:r>
        <w:instrText xml:space="preserve"> HYPERLINK \l "_Toc196135354" </w:instrText>
      </w:r>
      <w:r>
        <w:fldChar w:fldCharType="separate"/>
      </w:r>
      <w:r>
        <w:rPr>
          <w:rStyle w:val="24"/>
          <w:rFonts w:hint="eastAsia" w:asciiTheme="minorEastAsia" w:hAnsiTheme="minorEastAsia"/>
        </w:rPr>
        <w:t>1.</w:t>
      </w:r>
      <w:r>
        <w:rPr>
          <w:rFonts w:hint="eastAsia" w:asciiTheme="minorHAnsi" w:hAnsiTheme="minorHAnsi" w:eastAsiaTheme="minorEastAsia" w:cstheme="minorBidi"/>
          <w:sz w:val="22"/>
          <w:szCs w:val="24"/>
        </w:rPr>
        <w:tab/>
      </w:r>
      <w:r>
        <w:rPr>
          <w:rStyle w:val="24"/>
          <w:rFonts w:hint="eastAsia" w:ascii="宋体" w:hAnsi="宋体"/>
        </w:rPr>
        <w:t>招标单位</w:t>
      </w:r>
      <w:r>
        <w:rPr>
          <w:rFonts w:hint="eastAsia"/>
        </w:rPr>
        <w:tab/>
      </w:r>
      <w:r>
        <w:rPr>
          <w:rFonts w:hint="eastAsia"/>
        </w:rPr>
        <w:fldChar w:fldCharType="begin"/>
      </w:r>
      <w:r>
        <w:rPr>
          <w:rFonts w:hint="eastAsia"/>
        </w:rPr>
        <w:instrText xml:space="preserve"> </w:instrText>
      </w:r>
      <w:r>
        <w:instrText xml:space="preserve">PAGEREF _Toc196135354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57BC5B46">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"_Toc196135355" </w:instrText>
      </w:r>
      <w:r>
        <w:fldChar w:fldCharType="separate"/>
      </w:r>
      <w:r>
        <w:rPr>
          <w:rStyle w:val="24"/>
          <w:rFonts w:hint="eastAsia" w:asciiTheme="minorEastAsia" w:hAnsiTheme="minorEastAsia"/>
        </w:rPr>
        <w:t>2.</w:t>
      </w:r>
      <w:r>
        <w:rPr>
          <w:rFonts w:hint="eastAsia" w:asciiTheme="minorHAnsi" w:hAnsiTheme="minorHAnsi" w:eastAsiaTheme="minorEastAsia" w:cstheme="minorBidi"/>
          <w:sz w:val="22"/>
          <w:szCs w:val="24"/>
        </w:rPr>
        <w:tab/>
      </w:r>
      <w:r>
        <w:rPr>
          <w:rStyle w:val="24"/>
          <w:rFonts w:hint="eastAsia" w:ascii="宋体" w:hAnsi="宋体"/>
        </w:rPr>
        <w:t>招标邀请函</w:t>
      </w:r>
      <w:r>
        <w:rPr>
          <w:rFonts w:hint="eastAsia"/>
        </w:rPr>
        <w:tab/>
      </w:r>
      <w:r>
        <w:rPr>
          <w:rFonts w:hint="eastAsia"/>
        </w:rPr>
        <w:fldChar w:fldCharType="begin"/>
      </w:r>
      <w:r>
        <w:rPr>
          <w:rFonts w:hint="eastAsia"/>
        </w:rPr>
        <w:instrText xml:space="preserve"> </w:instrText>
      </w:r>
      <w:r>
        <w:instrText xml:space="preserve">PAGEREF _Toc196135355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0066DAF">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"_Toc196135356" </w:instrText>
      </w:r>
      <w:r>
        <w:fldChar w:fldCharType="separate"/>
      </w:r>
      <w:r>
        <w:rPr>
          <w:rStyle w:val="24"/>
          <w:rFonts w:hint="eastAsia" w:asciiTheme="minorEastAsia" w:hAnsiTheme="minorEastAsia"/>
        </w:rPr>
        <w:t>3.</w:t>
      </w:r>
      <w:r>
        <w:rPr>
          <w:rFonts w:hint="eastAsia" w:asciiTheme="minorHAnsi" w:hAnsiTheme="minorHAnsi" w:eastAsiaTheme="minorEastAsia" w:cstheme="minorBidi"/>
          <w:sz w:val="22"/>
          <w:szCs w:val="24"/>
        </w:rPr>
        <w:tab/>
      </w:r>
      <w:r>
        <w:rPr>
          <w:rStyle w:val="24"/>
          <w:rFonts w:hint="eastAsia" w:ascii="宋体" w:hAnsi="宋体"/>
        </w:rPr>
        <w:t>招标项目</w:t>
      </w:r>
      <w:r>
        <w:rPr>
          <w:rFonts w:hint="eastAsia"/>
        </w:rPr>
        <w:tab/>
      </w:r>
      <w:r>
        <w:rPr>
          <w:rFonts w:hint="eastAsia"/>
        </w:rPr>
        <w:fldChar w:fldCharType="begin"/>
      </w:r>
      <w:r>
        <w:rPr>
          <w:rFonts w:hint="eastAsia"/>
        </w:rPr>
        <w:instrText xml:space="preserve"> </w:instrText>
      </w:r>
      <w:r>
        <w:instrText xml:space="preserve">PAGEREF _Toc196135356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1AAC9EF">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"_Toc196135357" </w:instrText>
      </w:r>
      <w:r>
        <w:fldChar w:fldCharType="separate"/>
      </w:r>
      <w:r>
        <w:rPr>
          <w:rStyle w:val="24"/>
          <w:rFonts w:hint="eastAsia" w:asciiTheme="minorEastAsia" w:hAnsiTheme="minorEastAsia"/>
        </w:rPr>
        <w:t>4.</w:t>
      </w:r>
      <w:r>
        <w:rPr>
          <w:rFonts w:hint="eastAsia" w:asciiTheme="minorHAnsi" w:hAnsiTheme="minorHAnsi" w:eastAsiaTheme="minorEastAsia" w:cstheme="minorBidi"/>
          <w:sz w:val="22"/>
          <w:szCs w:val="24"/>
        </w:rPr>
        <w:tab/>
      </w:r>
      <w:r>
        <w:rPr>
          <w:rStyle w:val="24"/>
          <w:rFonts w:hint="eastAsia" w:ascii="宋体" w:hAnsi="宋体"/>
        </w:rPr>
        <w:t>投标条件</w:t>
      </w:r>
      <w:r>
        <w:rPr>
          <w:rFonts w:hint="eastAsia"/>
        </w:rPr>
        <w:tab/>
      </w:r>
      <w:r>
        <w:rPr>
          <w:rFonts w:hint="eastAsia"/>
        </w:rPr>
        <w:fldChar w:fldCharType="begin"/>
      </w:r>
      <w:r>
        <w:rPr>
          <w:rFonts w:hint="eastAsia"/>
        </w:rPr>
        <w:instrText xml:space="preserve"> </w:instrText>
      </w:r>
      <w:r>
        <w:instrText xml:space="preserve">PAGEREF _Toc196135357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5011BD4D">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"_Toc196135358" </w:instrText>
      </w:r>
      <w:r>
        <w:fldChar w:fldCharType="separate"/>
      </w:r>
      <w:r>
        <w:rPr>
          <w:rStyle w:val="24"/>
          <w:rFonts w:hint="eastAsia" w:asciiTheme="minorEastAsia" w:hAnsiTheme="minorEastAsia"/>
        </w:rPr>
        <w:t>5.</w:t>
      </w:r>
      <w:r>
        <w:rPr>
          <w:rFonts w:hint="eastAsia" w:asciiTheme="minorHAnsi" w:hAnsiTheme="minorHAnsi" w:eastAsiaTheme="minorEastAsia" w:cstheme="minorBidi"/>
          <w:sz w:val="22"/>
          <w:szCs w:val="24"/>
        </w:rPr>
        <w:tab/>
      </w:r>
      <w:r>
        <w:rPr>
          <w:rStyle w:val="24"/>
          <w:rFonts w:hint="eastAsia" w:ascii="宋体" w:hAnsi="宋体"/>
        </w:rPr>
        <w:t>招标方式</w:t>
      </w:r>
      <w:r>
        <w:rPr>
          <w:rFonts w:hint="eastAsia"/>
        </w:rPr>
        <w:tab/>
      </w:r>
      <w:r>
        <w:rPr>
          <w:rFonts w:hint="eastAsia"/>
        </w:rPr>
        <w:fldChar w:fldCharType="begin"/>
      </w:r>
      <w:r>
        <w:rPr>
          <w:rFonts w:hint="eastAsia"/>
        </w:rPr>
        <w:instrText xml:space="preserve"> </w:instrText>
      </w:r>
      <w:r>
        <w:instrText xml:space="preserve">PAGEREF _Toc196135358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539806E4">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"_Toc196135359" </w:instrText>
      </w:r>
      <w:r>
        <w:fldChar w:fldCharType="separate"/>
      </w:r>
      <w:r>
        <w:rPr>
          <w:rStyle w:val="24"/>
          <w:rFonts w:hint="eastAsia" w:asciiTheme="minorEastAsia" w:hAnsiTheme="minorEastAsia"/>
        </w:rPr>
        <w:t>6.</w:t>
      </w:r>
      <w:r>
        <w:rPr>
          <w:rFonts w:hint="eastAsia" w:asciiTheme="minorHAnsi" w:hAnsiTheme="minorHAnsi" w:eastAsiaTheme="minorEastAsia" w:cstheme="minorBidi"/>
          <w:sz w:val="22"/>
          <w:szCs w:val="24"/>
        </w:rPr>
        <w:tab/>
      </w:r>
      <w:r>
        <w:rPr>
          <w:rStyle w:val="24"/>
          <w:rFonts w:hint="eastAsia" w:ascii="宋体" w:hAnsi="宋体"/>
        </w:rPr>
        <w:t>投标报价</w:t>
      </w:r>
      <w:r>
        <w:rPr>
          <w:rFonts w:hint="eastAsia"/>
        </w:rPr>
        <w:tab/>
      </w:r>
      <w:r>
        <w:rPr>
          <w:rFonts w:hint="eastAsia"/>
        </w:rPr>
        <w:fldChar w:fldCharType="begin"/>
      </w:r>
      <w:r>
        <w:rPr>
          <w:rFonts w:hint="eastAsia"/>
        </w:rPr>
        <w:instrText xml:space="preserve"> </w:instrText>
      </w:r>
      <w:r>
        <w:instrText xml:space="preserve">PAGEREF _Toc196135359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0A4D4374">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"_Toc196135360" </w:instrText>
      </w:r>
      <w:r>
        <w:fldChar w:fldCharType="separate"/>
      </w:r>
      <w:r>
        <w:rPr>
          <w:rStyle w:val="24"/>
          <w:rFonts w:hint="eastAsia" w:asciiTheme="minorEastAsia" w:hAnsiTheme="minorEastAsia"/>
        </w:rPr>
        <w:t>7.</w:t>
      </w:r>
      <w:r>
        <w:rPr>
          <w:rFonts w:hint="eastAsia" w:asciiTheme="minorHAnsi" w:hAnsiTheme="minorHAnsi" w:eastAsiaTheme="minorEastAsia" w:cstheme="minorBidi"/>
          <w:sz w:val="22"/>
          <w:szCs w:val="24"/>
        </w:rPr>
        <w:tab/>
      </w:r>
      <w:r>
        <w:rPr>
          <w:rStyle w:val="24"/>
          <w:rFonts w:hint="eastAsia" w:ascii="宋体" w:hAnsi="宋体"/>
        </w:rPr>
        <w:t>投标须知</w:t>
      </w:r>
      <w:r>
        <w:rPr>
          <w:rFonts w:hint="eastAsia"/>
        </w:rPr>
        <w:tab/>
      </w:r>
      <w:r>
        <w:rPr>
          <w:rFonts w:hint="eastAsia"/>
        </w:rPr>
        <w:fldChar w:fldCharType="begin"/>
      </w:r>
      <w:r>
        <w:rPr>
          <w:rFonts w:hint="eastAsia"/>
        </w:rPr>
        <w:instrText xml:space="preserve"> </w:instrText>
      </w:r>
      <w:r>
        <w:instrText xml:space="preserve">PAGEREF _Toc196135360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51217ED3">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"_Toc196135361" </w:instrText>
      </w:r>
      <w:r>
        <w:fldChar w:fldCharType="separate"/>
      </w:r>
      <w:r>
        <w:rPr>
          <w:rStyle w:val="24"/>
          <w:rFonts w:hint="eastAsia" w:asciiTheme="minorEastAsia" w:hAnsiTheme="minorEastAsia"/>
        </w:rPr>
        <w:t>8.</w:t>
      </w:r>
      <w:r>
        <w:rPr>
          <w:rFonts w:hint="eastAsia" w:asciiTheme="minorHAnsi" w:hAnsiTheme="minorHAnsi" w:eastAsiaTheme="minorEastAsia" w:cstheme="minorBidi"/>
          <w:sz w:val="22"/>
          <w:szCs w:val="24"/>
        </w:rPr>
        <w:tab/>
      </w:r>
      <w:r>
        <w:rPr>
          <w:rStyle w:val="24"/>
          <w:rFonts w:hint="eastAsia" w:ascii="宋体" w:hAnsi="宋体"/>
        </w:rPr>
        <w:t>评标规则与中标通知</w:t>
      </w:r>
      <w:r>
        <w:rPr>
          <w:rFonts w:hint="eastAsia"/>
        </w:rPr>
        <w:tab/>
      </w:r>
      <w:r>
        <w:rPr>
          <w:rFonts w:hint="eastAsia"/>
        </w:rPr>
        <w:fldChar w:fldCharType="begin"/>
      </w:r>
      <w:r>
        <w:rPr>
          <w:rFonts w:hint="eastAsia"/>
        </w:rPr>
        <w:instrText xml:space="preserve"> </w:instrText>
      </w:r>
      <w:r>
        <w:instrText xml:space="preserve">PAGEREF _Toc196135361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D0B3BA6">
      <w:pPr>
        <w:pStyle w:val="15"/>
        <w:tabs>
          <w:tab w:val="left" w:pos="440"/>
          <w:tab w:val="right" w:leader="dot" w:pos="8296"/>
        </w:tabs>
        <w:rPr>
          <w:rFonts w:asciiTheme="minorHAnsi" w:hAnsiTheme="minorHAnsi" w:eastAsiaTheme="minorEastAsia" w:cstheme="minorBidi"/>
          <w:sz w:val="22"/>
          <w:szCs w:val="24"/>
        </w:rPr>
      </w:pPr>
      <w:r>
        <w:fldChar w:fldCharType="begin"/>
      </w:r>
      <w:r>
        <w:instrText xml:space="preserve"> HYPERLINK \l "_Toc196135362" </w:instrText>
      </w:r>
      <w:r>
        <w:fldChar w:fldCharType="separate"/>
      </w:r>
      <w:r>
        <w:rPr>
          <w:rStyle w:val="24"/>
          <w:rFonts w:hint="eastAsia" w:asciiTheme="minorEastAsia" w:hAnsiTheme="minorEastAsia"/>
        </w:rPr>
        <w:t>9.</w:t>
      </w:r>
      <w:r>
        <w:rPr>
          <w:rFonts w:hint="eastAsia" w:asciiTheme="minorHAnsi" w:hAnsiTheme="minorHAnsi" w:eastAsiaTheme="minorEastAsia" w:cstheme="minorBidi"/>
          <w:sz w:val="22"/>
          <w:szCs w:val="24"/>
        </w:rPr>
        <w:tab/>
      </w:r>
      <w:r>
        <w:rPr>
          <w:rStyle w:val="24"/>
          <w:rFonts w:hint="eastAsia" w:ascii="宋体" w:hAnsi="宋体"/>
        </w:rPr>
        <w:t>投标文件组成</w:t>
      </w:r>
      <w:r>
        <w:rPr>
          <w:rFonts w:hint="eastAsia"/>
        </w:rPr>
        <w:tab/>
      </w:r>
      <w:r>
        <w:rPr>
          <w:rFonts w:hint="eastAsia"/>
        </w:rPr>
        <w:fldChar w:fldCharType="begin"/>
      </w:r>
      <w:r>
        <w:rPr>
          <w:rFonts w:hint="eastAsia"/>
        </w:rPr>
        <w:instrText xml:space="preserve"> </w:instrText>
      </w:r>
      <w:r>
        <w:instrText xml:space="preserve">PAGEREF _Toc196135362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2FBFE5D">
      <w:pPr>
        <w:pStyle w:val="15"/>
        <w:tabs>
          <w:tab w:val="left" w:pos="660"/>
          <w:tab w:val="right" w:leader="dot" w:pos="8296"/>
        </w:tabs>
        <w:rPr>
          <w:rFonts w:asciiTheme="minorHAnsi" w:hAnsiTheme="minorHAnsi" w:eastAsiaTheme="minorEastAsia" w:cstheme="minorBidi"/>
          <w:sz w:val="22"/>
          <w:szCs w:val="24"/>
        </w:rPr>
      </w:pPr>
      <w:r>
        <w:fldChar w:fldCharType="begin"/>
      </w:r>
      <w:r>
        <w:instrText xml:space="preserve"> HYPERLINK \l "_Toc196135363" </w:instrText>
      </w:r>
      <w:r>
        <w:fldChar w:fldCharType="separate"/>
      </w:r>
      <w:r>
        <w:rPr>
          <w:rStyle w:val="24"/>
          <w:rFonts w:hint="eastAsia" w:asciiTheme="minorEastAsia" w:hAnsiTheme="minorEastAsia"/>
        </w:rPr>
        <w:t>10.</w:t>
      </w:r>
      <w:r>
        <w:rPr>
          <w:rFonts w:hint="eastAsia" w:asciiTheme="minorHAnsi" w:hAnsiTheme="minorHAnsi" w:eastAsiaTheme="minorEastAsia" w:cstheme="minorBidi"/>
          <w:sz w:val="22"/>
          <w:szCs w:val="24"/>
        </w:rPr>
        <w:tab/>
      </w:r>
      <w:r>
        <w:rPr>
          <w:rStyle w:val="24"/>
          <w:rFonts w:hint="eastAsia" w:ascii="宋体" w:hAnsi="宋体"/>
        </w:rPr>
        <w:t>附件</w:t>
      </w:r>
      <w:r>
        <w:rPr>
          <w:rFonts w:hint="eastAsia"/>
        </w:rPr>
        <w:tab/>
      </w:r>
      <w:r>
        <w:rPr>
          <w:rFonts w:hint="eastAsia"/>
        </w:rPr>
        <w:fldChar w:fldCharType="begin"/>
      </w:r>
      <w:r>
        <w:rPr>
          <w:rFonts w:hint="eastAsia"/>
        </w:rPr>
        <w:instrText xml:space="preserve"> </w:instrText>
      </w:r>
      <w:r>
        <w:instrText xml:space="preserve">PAGEREF _Toc196135363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1859EBF6">
      <w:pPr>
        <w:spacing w:line="360" w:lineRule="auto"/>
        <w:rPr>
          <w:rFonts w:hint="eastAsia" w:ascii="宋体" w:hAnsi="宋体" w:eastAsia="楷体_GB2312"/>
          <w:b/>
          <w:sz w:val="44"/>
          <w:szCs w:val="44"/>
        </w:rPr>
      </w:pPr>
      <w:r>
        <w:rPr>
          <w:rFonts w:hint="eastAsia" w:ascii="宋体" w:hAnsi="宋体" w:cs="宋体"/>
          <w:szCs w:val="30"/>
        </w:rPr>
        <w:fldChar w:fldCharType="end"/>
      </w:r>
    </w:p>
    <w:p w14:paraId="4CBDFC5C">
      <w:pPr>
        <w:pStyle w:val="4"/>
        <w:numPr>
          <w:ilvl w:val="0"/>
          <w:numId w:val="1"/>
        </w:numPr>
        <w:spacing w:line="360" w:lineRule="auto"/>
        <w:rPr>
          <w:rFonts w:hint="eastAsia" w:ascii="宋体" w:hAnsi="宋体"/>
          <w:sz w:val="24"/>
          <w:szCs w:val="24"/>
        </w:rPr>
      </w:pPr>
      <w:r>
        <w:br w:type="page"/>
      </w:r>
      <w:bookmarkStart w:id="0" w:name="_Toc196135354"/>
      <w:r>
        <w:rPr>
          <w:rFonts w:hint="eastAsia" w:ascii="宋体" w:hAnsi="宋体"/>
          <w:sz w:val="24"/>
          <w:szCs w:val="24"/>
        </w:rPr>
        <w:t>招标单位</w:t>
      </w:r>
      <w:bookmarkEnd w:id="0"/>
    </w:p>
    <w:p w14:paraId="2F87248C">
      <w:pPr>
        <w:pStyle w:val="33"/>
        <w:spacing w:line="360" w:lineRule="auto"/>
        <w:ind w:firstLine="480"/>
        <w:rPr>
          <w:rFonts w:hint="eastAsia" w:ascii="宋体" w:hAnsi="宋体" w:cs="宋体"/>
          <w:szCs w:val="24"/>
        </w:rPr>
      </w:pPr>
      <w:r>
        <w:rPr>
          <w:rFonts w:hint="eastAsia" w:ascii="宋体" w:hAnsi="宋体" w:cs="宋体"/>
          <w:szCs w:val="24"/>
        </w:rPr>
        <w:t>中天国富证券有限公司</w:t>
      </w:r>
    </w:p>
    <w:p w14:paraId="6E91E181">
      <w:pPr>
        <w:pStyle w:val="4"/>
        <w:numPr>
          <w:ilvl w:val="0"/>
          <w:numId w:val="1"/>
        </w:numPr>
        <w:spacing w:line="360" w:lineRule="auto"/>
        <w:rPr>
          <w:rFonts w:hint="eastAsia" w:ascii="宋体" w:hAnsi="宋体"/>
          <w:sz w:val="24"/>
          <w:szCs w:val="24"/>
        </w:rPr>
      </w:pPr>
      <w:bookmarkStart w:id="1" w:name="_Toc196135355"/>
      <w:bookmarkStart w:id="2" w:name="_Toc518077749"/>
      <w:r>
        <w:rPr>
          <w:rFonts w:hint="eastAsia" w:ascii="宋体" w:hAnsi="宋体"/>
          <w:sz w:val="24"/>
          <w:szCs w:val="24"/>
        </w:rPr>
        <w:t>招标邀请函</w:t>
      </w:r>
      <w:bookmarkEnd w:id="1"/>
      <w:bookmarkEnd w:id="2"/>
    </w:p>
    <w:p w14:paraId="6D84F91D">
      <w:pPr>
        <w:pStyle w:val="47"/>
        <w:snapToGrid w:val="0"/>
        <w:spacing w:line="360" w:lineRule="auto"/>
        <w:ind w:firstLine="353"/>
        <w:rPr>
          <w:rFonts w:hint="eastAsia" w:asciiTheme="minorEastAsia" w:hAnsiTheme="minorEastAsia" w:eastAsiaTheme="minorEastAsia"/>
          <w:color w:val="auto"/>
        </w:rPr>
      </w:pPr>
      <w:r>
        <w:rPr>
          <w:rFonts w:hint="eastAsia" w:cs="Times New Roman" w:asciiTheme="minorEastAsia" w:hAnsiTheme="minorEastAsia" w:eastAsiaTheme="minorEastAsia"/>
          <w:kern w:val="2"/>
        </w:rPr>
        <w:t>（被邀请单位名称）：</w:t>
      </w:r>
    </w:p>
    <w:p w14:paraId="2155B311">
      <w:pPr>
        <w:adjustRightInd w:val="0"/>
        <w:snapToGrid w:val="0"/>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经发包人确定，现邀请贵单位参加</w:t>
      </w:r>
      <w:r>
        <w:rPr>
          <w:rFonts w:hint="eastAsia" w:asciiTheme="minorEastAsia" w:hAnsiTheme="minorEastAsia" w:eastAsiaTheme="minorEastAsia"/>
          <w:szCs w:val="24"/>
          <w:u w:val="single"/>
          <w:lang w:eastAsia="zh-CN"/>
        </w:rPr>
        <w:t>IDC新一代网络升级项目三期</w:t>
      </w:r>
      <w:r>
        <w:rPr>
          <w:rFonts w:hint="eastAsia" w:asciiTheme="minorEastAsia" w:hAnsiTheme="minorEastAsia" w:eastAsiaTheme="minorEastAsia"/>
          <w:szCs w:val="24"/>
          <w:u w:val="single"/>
        </w:rPr>
        <w:t xml:space="preserve"> </w:t>
      </w:r>
      <w:r>
        <w:rPr>
          <w:rFonts w:hint="eastAsia" w:asciiTheme="minorEastAsia" w:hAnsiTheme="minorEastAsia" w:eastAsiaTheme="minorEastAsia"/>
          <w:szCs w:val="24"/>
        </w:rPr>
        <w:t>投标。</w:t>
      </w:r>
    </w:p>
    <w:p w14:paraId="6FC34B72">
      <w:pPr>
        <w:adjustRightInd w:val="0"/>
        <w:snapToGrid w:val="0"/>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招标文件将以电子邮件形式发送到贵单位指定联系人邮箱。</w:t>
      </w:r>
    </w:p>
    <w:p w14:paraId="32323E10">
      <w:pPr>
        <w:adjustRightInd w:val="0"/>
        <w:snapToGrid w:val="0"/>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递交投标文件的截止时间为</w:t>
      </w:r>
      <w:r>
        <w:rPr>
          <w:rFonts w:asciiTheme="minorEastAsia" w:hAnsiTheme="minorEastAsia" w:eastAsiaTheme="minorEastAsia"/>
          <w:szCs w:val="24"/>
          <w:highlight w:val="yellow"/>
          <w:u w:val="single"/>
        </w:rPr>
        <w:t>202</w:t>
      </w:r>
      <w:r>
        <w:rPr>
          <w:rFonts w:hint="eastAsia" w:asciiTheme="minorEastAsia" w:hAnsiTheme="minorEastAsia" w:eastAsiaTheme="minorEastAsia"/>
          <w:szCs w:val="24"/>
          <w:highlight w:val="yellow"/>
          <w:u w:val="single"/>
        </w:rPr>
        <w:t>5</w:t>
      </w:r>
      <w:r>
        <w:rPr>
          <w:rFonts w:asciiTheme="minorEastAsia" w:hAnsiTheme="minorEastAsia" w:eastAsiaTheme="minorEastAsia"/>
          <w:szCs w:val="24"/>
          <w:highlight w:val="yellow"/>
          <w:u w:val="single"/>
        </w:rPr>
        <w:t xml:space="preserve"> 年 </w:t>
      </w:r>
      <w:r>
        <w:rPr>
          <w:rFonts w:hint="eastAsia" w:asciiTheme="minorEastAsia" w:hAnsiTheme="minorEastAsia" w:eastAsiaTheme="minorEastAsia"/>
          <w:szCs w:val="24"/>
          <w:highlight w:val="yellow"/>
          <w:u w:val="single"/>
        </w:rPr>
        <w:t>x</w:t>
      </w:r>
      <w:r>
        <w:rPr>
          <w:rFonts w:asciiTheme="minorEastAsia" w:hAnsiTheme="minorEastAsia" w:eastAsiaTheme="minorEastAsia"/>
          <w:szCs w:val="24"/>
          <w:highlight w:val="yellow"/>
          <w:u w:val="single"/>
        </w:rPr>
        <w:t xml:space="preserve"> 月 </w:t>
      </w:r>
      <w:r>
        <w:rPr>
          <w:rFonts w:hint="eastAsia" w:asciiTheme="minorEastAsia" w:hAnsiTheme="minorEastAsia" w:eastAsiaTheme="minorEastAsia"/>
          <w:szCs w:val="24"/>
          <w:highlight w:val="yellow"/>
          <w:u w:val="single"/>
        </w:rPr>
        <w:t>x</w:t>
      </w:r>
      <w:r>
        <w:rPr>
          <w:rFonts w:asciiTheme="minorEastAsia" w:hAnsiTheme="minorEastAsia" w:eastAsiaTheme="minorEastAsia"/>
          <w:szCs w:val="24"/>
          <w:highlight w:val="yellow"/>
          <w:u w:val="single"/>
        </w:rPr>
        <w:t>日</w:t>
      </w:r>
      <w:r>
        <w:rPr>
          <w:rFonts w:asciiTheme="minorEastAsia" w:hAnsiTheme="minorEastAsia" w:eastAsiaTheme="minorEastAsia"/>
          <w:szCs w:val="24"/>
          <w:u w:val="single"/>
        </w:rPr>
        <w:t xml:space="preserve"> 09</w:t>
      </w:r>
      <w:r>
        <w:rPr>
          <w:rFonts w:hint="eastAsia" w:asciiTheme="minorEastAsia" w:hAnsiTheme="minorEastAsia" w:eastAsiaTheme="minorEastAsia"/>
          <w:szCs w:val="24"/>
          <w:u w:val="single"/>
        </w:rPr>
        <w:t>:</w:t>
      </w:r>
      <w:r>
        <w:rPr>
          <w:rFonts w:asciiTheme="minorEastAsia" w:hAnsiTheme="minorEastAsia" w:eastAsiaTheme="minorEastAsia"/>
          <w:szCs w:val="24"/>
          <w:u w:val="single"/>
        </w:rPr>
        <w:t xml:space="preserve">30 </w:t>
      </w:r>
      <w:r>
        <w:rPr>
          <w:rFonts w:hint="eastAsia" w:asciiTheme="minorEastAsia" w:hAnsiTheme="minorEastAsia" w:eastAsiaTheme="minorEastAsia"/>
          <w:szCs w:val="24"/>
        </w:rPr>
        <w:t>时，地点为</w:t>
      </w:r>
      <w:r>
        <w:rPr>
          <w:rFonts w:hint="eastAsia" w:asciiTheme="minorEastAsia" w:hAnsiTheme="minorEastAsia" w:eastAsiaTheme="minorEastAsia"/>
          <w:szCs w:val="24"/>
          <w:u w:val="single"/>
        </w:rPr>
        <w:t>深圳市南山区科苑南路3099号中国储能大厦</w:t>
      </w:r>
      <w:r>
        <w:rPr>
          <w:rFonts w:asciiTheme="minorEastAsia" w:hAnsiTheme="minorEastAsia" w:eastAsiaTheme="minorEastAsia"/>
          <w:szCs w:val="24"/>
          <w:u w:val="single"/>
        </w:rPr>
        <w:t>50</w:t>
      </w:r>
      <w:r>
        <w:rPr>
          <w:rFonts w:hint="eastAsia" w:asciiTheme="minorEastAsia" w:hAnsiTheme="minorEastAsia" w:eastAsiaTheme="minorEastAsia"/>
          <w:szCs w:val="24"/>
          <w:u w:val="single"/>
        </w:rPr>
        <w:t>楼</w:t>
      </w:r>
      <w:r>
        <w:rPr>
          <w:rFonts w:hint="eastAsia" w:asciiTheme="minorEastAsia" w:hAnsiTheme="minorEastAsia" w:eastAsiaTheme="minorEastAsia"/>
          <w:szCs w:val="24"/>
        </w:rPr>
        <w:t>。</w:t>
      </w:r>
    </w:p>
    <w:p w14:paraId="4C83CA26">
      <w:pPr>
        <w:adjustRightInd w:val="0"/>
        <w:snapToGrid w:val="0"/>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逾期送达的或者未送达指定地点的投标文件，发包人不予接受。如投标单位不足三家将重新组织招标。</w:t>
      </w:r>
    </w:p>
    <w:p w14:paraId="76EEE194">
      <w:pPr>
        <w:adjustRightInd w:val="0"/>
        <w:snapToGrid w:val="0"/>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注：贵单位收到本投标邀请书后，无论是否参与本次投标，均请于</w:t>
      </w:r>
      <w:r>
        <w:rPr>
          <w:rFonts w:asciiTheme="minorEastAsia" w:hAnsiTheme="minorEastAsia" w:eastAsiaTheme="minorEastAsia"/>
          <w:szCs w:val="24"/>
          <w:highlight w:val="yellow"/>
          <w:u w:val="single"/>
        </w:rPr>
        <w:t>202</w:t>
      </w:r>
      <w:r>
        <w:rPr>
          <w:rFonts w:hint="eastAsia" w:asciiTheme="minorEastAsia" w:hAnsiTheme="minorEastAsia" w:eastAsiaTheme="minorEastAsia"/>
          <w:szCs w:val="24"/>
          <w:highlight w:val="yellow"/>
          <w:u w:val="single"/>
        </w:rPr>
        <w:t>5</w:t>
      </w:r>
      <w:r>
        <w:rPr>
          <w:rFonts w:asciiTheme="minorEastAsia" w:hAnsiTheme="minorEastAsia" w:eastAsiaTheme="minorEastAsia"/>
          <w:szCs w:val="24"/>
          <w:highlight w:val="yellow"/>
          <w:u w:val="single"/>
        </w:rPr>
        <w:t>年</w:t>
      </w:r>
      <w:r>
        <w:rPr>
          <w:rFonts w:hint="eastAsia" w:asciiTheme="minorEastAsia" w:hAnsiTheme="minorEastAsia" w:eastAsiaTheme="minorEastAsia"/>
          <w:szCs w:val="24"/>
          <w:highlight w:val="yellow"/>
          <w:u w:val="single"/>
        </w:rPr>
        <w:t>x 月 x日</w:t>
      </w:r>
      <w:r>
        <w:rPr>
          <w:rFonts w:asciiTheme="minorEastAsia" w:hAnsiTheme="minorEastAsia" w:eastAsiaTheme="minorEastAsia"/>
          <w:szCs w:val="24"/>
          <w:u w:val="single"/>
        </w:rPr>
        <w:t>17</w:t>
      </w:r>
      <w:r>
        <w:rPr>
          <w:rFonts w:hint="eastAsia" w:asciiTheme="minorEastAsia" w:hAnsiTheme="minorEastAsia" w:eastAsiaTheme="minorEastAsia"/>
          <w:szCs w:val="24"/>
          <w:u w:val="single"/>
        </w:rPr>
        <w:t>:</w:t>
      </w:r>
      <w:r>
        <w:rPr>
          <w:rFonts w:asciiTheme="minorEastAsia" w:hAnsiTheme="minorEastAsia" w:eastAsiaTheme="minorEastAsia"/>
          <w:szCs w:val="24"/>
          <w:u w:val="single"/>
        </w:rPr>
        <w:t>00</w:t>
      </w:r>
      <w:r>
        <w:rPr>
          <w:rFonts w:hint="eastAsia" w:asciiTheme="minorEastAsia" w:hAnsiTheme="minorEastAsia" w:eastAsiaTheme="minorEastAsia"/>
          <w:szCs w:val="24"/>
        </w:rPr>
        <w:t>时前，以书面形式回函确认。回函请扫描后发至邮箱,谢谢合作！</w:t>
      </w:r>
    </w:p>
    <w:p w14:paraId="4550D96F">
      <w:pPr>
        <w:adjustRightInd w:val="0"/>
        <w:snapToGrid w:val="0"/>
        <w:spacing w:line="360" w:lineRule="auto"/>
        <w:ind w:firstLine="480" w:firstLineChars="200"/>
        <w:jc w:val="left"/>
        <w:rPr>
          <w:rFonts w:hint="eastAsia" w:asciiTheme="minorEastAsia" w:hAnsiTheme="minorEastAsia" w:eastAsiaTheme="minorEastAsia"/>
          <w:szCs w:val="24"/>
        </w:rPr>
      </w:pPr>
      <w:r>
        <w:rPr>
          <w:rFonts w:hint="eastAsia" w:asciiTheme="minorEastAsia" w:hAnsiTheme="minorEastAsia" w:eastAsiaTheme="minorEastAsia"/>
          <w:szCs w:val="24"/>
        </w:rPr>
        <w:t xml:space="preserve">                                           中天国富证券有限公司</w:t>
      </w:r>
    </w:p>
    <w:p w14:paraId="49B25C1A">
      <w:pPr>
        <w:adjustRightInd w:val="0"/>
        <w:snapToGrid w:val="0"/>
        <w:spacing w:line="360" w:lineRule="auto"/>
        <w:ind w:firstLine="480" w:firstLineChars="200"/>
        <w:jc w:val="right"/>
        <w:rPr>
          <w:rFonts w:hint="eastAsia" w:asciiTheme="minorEastAsia" w:hAnsiTheme="minorEastAsia" w:eastAsiaTheme="minorEastAsia"/>
          <w:szCs w:val="24"/>
        </w:rPr>
      </w:pPr>
      <w:r>
        <w:rPr>
          <w:rFonts w:hint="eastAsia" w:asciiTheme="minorEastAsia" w:hAnsiTheme="minorEastAsia" w:eastAsiaTheme="minorEastAsia"/>
          <w:szCs w:val="24"/>
        </w:rPr>
        <w:t xml:space="preserve">                    日期：   年    月    日</w:t>
      </w:r>
    </w:p>
    <w:p w14:paraId="5A84370C">
      <w:pPr>
        <w:adjustRightInd w:val="0"/>
        <w:snapToGrid w:val="0"/>
        <w:spacing w:line="360" w:lineRule="auto"/>
        <w:ind w:firstLine="480" w:firstLineChars="200"/>
        <w:rPr>
          <w:rFonts w:hint="eastAsia" w:asciiTheme="minorEastAsia" w:hAnsiTheme="minorEastAsia" w:eastAsiaTheme="minorEastAsia"/>
          <w:szCs w:val="24"/>
        </w:rPr>
      </w:pPr>
    </w:p>
    <w:p w14:paraId="1D40ACE4">
      <w:pPr>
        <w:snapToGrid w:val="0"/>
        <w:spacing w:line="360" w:lineRule="auto"/>
        <w:rPr>
          <w:rFonts w:hint="eastAsia" w:asciiTheme="minorEastAsia" w:hAnsiTheme="minorEastAsia" w:eastAsiaTheme="minorEastAsia"/>
          <w:snapToGrid w:val="0"/>
          <w:szCs w:val="24"/>
        </w:rPr>
      </w:pPr>
      <w:r>
        <w:rPr>
          <w:rFonts w:hint="eastAsia" w:asciiTheme="minorEastAsia" w:hAnsiTheme="minorEastAsia" w:eastAsiaTheme="minorEastAsia"/>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6223000" cy="0"/>
                <wp:effectExtent l="0" t="4445" r="0" b="5080"/>
                <wp:wrapNone/>
                <wp:docPr id="8"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0pt;margin-top:-0.2pt;height:0pt;width:490pt;z-index:251659264;mso-width-relative:page;mso-height-relative:page;" filled="f" stroked="t" coordsize="21600,21600" o:gfxdata="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IAA0gAAAAQB&#10;AAAPAAAAAAAAAAEAIAAAACIAAABkcnMvZG93bnJldi54bWxQSwECFAAUAAAACACHTuJAGY8PjugB&#10;AAC4AwAADgAAAAAAAAABACAAAAAhAQAAZHJzL2Uyb0RvYy54bWxQSwUGAAAAAAYABgBZAQAAewUA&#10;AAAA&#10;">
                <v:fill on="f" focussize="0,0"/>
                <v:stroke color="#000000" joinstyle="round"/>
                <v:imagedata o:title=""/>
                <o:lock v:ext="edit" aspectratio="f"/>
              </v:line>
            </w:pict>
          </mc:Fallback>
        </mc:AlternateContent>
      </w:r>
      <w:r>
        <w:rPr>
          <w:rFonts w:hint="eastAsia" w:asciiTheme="minorEastAsia" w:hAnsiTheme="minorEastAsia" w:eastAsiaTheme="minorEastAsia"/>
          <w:snapToGrid w:val="0"/>
          <w:szCs w:val="24"/>
        </w:rPr>
        <w:t xml:space="preserve">附： </w:t>
      </w:r>
    </w:p>
    <w:p w14:paraId="55355F06">
      <w:pPr>
        <w:snapToGrid w:val="0"/>
        <w:spacing w:line="360" w:lineRule="auto"/>
        <w:jc w:val="center"/>
        <w:rPr>
          <w:rFonts w:hint="eastAsia" w:asciiTheme="minorEastAsia" w:hAnsiTheme="minorEastAsia" w:eastAsiaTheme="minorEastAsia"/>
          <w:b/>
          <w:snapToGrid w:val="0"/>
          <w:szCs w:val="24"/>
        </w:rPr>
      </w:pPr>
      <w:r>
        <w:rPr>
          <w:rFonts w:hint="eastAsia" w:asciiTheme="minorEastAsia" w:hAnsiTheme="minorEastAsia" w:eastAsiaTheme="minorEastAsia"/>
          <w:b/>
          <w:snapToGrid w:val="0"/>
          <w:szCs w:val="24"/>
        </w:rPr>
        <w:t>回    函</w:t>
      </w:r>
    </w:p>
    <w:p w14:paraId="7B8B4BDB">
      <w:pPr>
        <w:pStyle w:val="33"/>
        <w:spacing w:line="360" w:lineRule="auto"/>
        <w:ind w:firstLine="0" w:firstLineChars="0"/>
        <w:rPr>
          <w:rFonts w:hint="eastAsia" w:ascii="宋体" w:hAnsi="宋体" w:cs="宋体"/>
          <w:szCs w:val="24"/>
        </w:rPr>
      </w:pPr>
      <w:r>
        <w:rPr>
          <w:rFonts w:hint="eastAsia" w:asciiTheme="minorEastAsia" w:hAnsiTheme="minorEastAsia" w:eastAsiaTheme="minorEastAsia"/>
          <w:szCs w:val="24"/>
          <w:u w:val="single"/>
        </w:rPr>
        <w:t>中天国富证券有限公司</w:t>
      </w:r>
      <w:r>
        <w:rPr>
          <w:rFonts w:hint="eastAsia" w:asciiTheme="minorEastAsia" w:hAnsiTheme="minorEastAsia" w:eastAsiaTheme="minorEastAsia"/>
          <w:snapToGrid w:val="0"/>
          <w:szCs w:val="24"/>
        </w:rPr>
        <w:t>：</w:t>
      </w:r>
    </w:p>
    <w:p w14:paraId="29EA193B">
      <w:pPr>
        <w:snapToGrid w:val="0"/>
        <w:spacing w:line="360" w:lineRule="auto"/>
        <w:ind w:firstLine="555"/>
        <w:rPr>
          <w:rFonts w:hint="eastAsia" w:asciiTheme="minorEastAsia" w:hAnsiTheme="minorEastAsia" w:eastAsiaTheme="minorEastAsia"/>
          <w:snapToGrid w:val="0"/>
          <w:szCs w:val="24"/>
        </w:rPr>
      </w:pPr>
      <w:r>
        <w:rPr>
          <w:rFonts w:hint="eastAsia" w:asciiTheme="minorEastAsia" w:hAnsiTheme="minorEastAsia" w:eastAsiaTheme="minorEastAsia"/>
          <w:snapToGrid w:val="0"/>
          <w:szCs w:val="24"/>
        </w:rPr>
        <w:t>我单位已于</w:t>
      </w:r>
      <w:r>
        <w:rPr>
          <w:rFonts w:hint="eastAsia" w:asciiTheme="minorEastAsia" w:hAnsiTheme="minorEastAsia" w:eastAsiaTheme="minorEastAsia"/>
          <w:snapToGrid w:val="0"/>
          <w:szCs w:val="24"/>
          <w:u w:val="single"/>
        </w:rPr>
        <w:t xml:space="preserve">     年    月    日</w:t>
      </w:r>
      <w:r>
        <w:rPr>
          <w:rFonts w:hint="eastAsia" w:asciiTheme="minorEastAsia" w:hAnsiTheme="minorEastAsia" w:eastAsiaTheme="minorEastAsia"/>
          <w:snapToGrid w:val="0"/>
          <w:szCs w:val="24"/>
        </w:rPr>
        <w:t>收到贵单位关于</w:t>
      </w:r>
      <w:r>
        <w:rPr>
          <w:rFonts w:hint="eastAsia" w:asciiTheme="minorEastAsia" w:hAnsiTheme="minorEastAsia" w:eastAsiaTheme="minorEastAsia"/>
          <w:szCs w:val="24"/>
          <w:u w:val="single"/>
          <w:lang w:eastAsia="zh-CN"/>
        </w:rPr>
        <w:t>IDC新一代网络升级项目三期</w:t>
      </w:r>
      <w:r>
        <w:rPr>
          <w:rFonts w:hint="eastAsia" w:asciiTheme="minorEastAsia" w:hAnsiTheme="minorEastAsia" w:eastAsiaTheme="minorEastAsia"/>
          <w:szCs w:val="24"/>
          <w:u w:val="single"/>
        </w:rPr>
        <w:t xml:space="preserve"> </w:t>
      </w:r>
      <w:r>
        <w:rPr>
          <w:rFonts w:hint="eastAsia" w:asciiTheme="minorEastAsia" w:hAnsiTheme="minorEastAsia" w:eastAsiaTheme="minorEastAsia"/>
          <w:snapToGrid w:val="0"/>
          <w:szCs w:val="24"/>
        </w:rPr>
        <w:t>项目的投标邀请书，经我单位研究决定（请填写参与或不参与）本次投标，并授权（联系人/联系电话）的（邮箱）为此次招标电子版资料和招标答疑回复文件的接收邮箱，特此确认。</w:t>
      </w:r>
    </w:p>
    <w:p w14:paraId="14D6ABE7">
      <w:pPr>
        <w:snapToGrid w:val="0"/>
        <w:spacing w:line="360" w:lineRule="auto"/>
        <w:ind w:firstLine="555"/>
        <w:jc w:val="right"/>
        <w:rPr>
          <w:rFonts w:hint="eastAsia" w:asciiTheme="minorEastAsia" w:hAnsiTheme="minorEastAsia" w:eastAsiaTheme="minorEastAsia"/>
          <w:snapToGrid w:val="0"/>
          <w:szCs w:val="24"/>
        </w:rPr>
      </w:pPr>
      <w:r>
        <w:rPr>
          <w:rFonts w:hint="eastAsia" w:asciiTheme="minorEastAsia" w:hAnsiTheme="minorEastAsia" w:eastAsiaTheme="minorEastAsia"/>
          <w:snapToGrid w:val="0"/>
          <w:szCs w:val="24"/>
        </w:rPr>
        <w:t xml:space="preserve">投标单位名称（加盖公章）：                  </w:t>
      </w:r>
    </w:p>
    <w:p w14:paraId="0A8D6AA1">
      <w:pPr>
        <w:adjustRightInd w:val="0"/>
        <w:snapToGrid w:val="0"/>
        <w:spacing w:line="360" w:lineRule="auto"/>
        <w:ind w:firstLine="480" w:firstLineChars="200"/>
        <w:jc w:val="right"/>
        <w:rPr>
          <w:rFonts w:hint="eastAsia" w:asciiTheme="minorEastAsia" w:hAnsiTheme="minorEastAsia" w:eastAsiaTheme="minorEastAsia"/>
          <w:szCs w:val="24"/>
        </w:rPr>
      </w:pPr>
      <w:r>
        <w:rPr>
          <w:rFonts w:hint="eastAsia" w:asciiTheme="minorEastAsia" w:hAnsiTheme="minorEastAsia" w:eastAsiaTheme="minorEastAsia"/>
          <w:szCs w:val="24"/>
        </w:rPr>
        <w:t xml:space="preserve">                    日期：     年     月     日</w:t>
      </w:r>
    </w:p>
    <w:p w14:paraId="6E404E52">
      <w:pPr>
        <w:pStyle w:val="33"/>
        <w:spacing w:line="360" w:lineRule="auto"/>
        <w:ind w:firstLine="0" w:firstLineChars="0"/>
        <w:rPr>
          <w:rFonts w:hint="eastAsia" w:asciiTheme="minorEastAsia" w:hAnsiTheme="minorEastAsia" w:eastAsiaTheme="minorEastAsia"/>
          <w:szCs w:val="24"/>
        </w:rPr>
      </w:pPr>
    </w:p>
    <w:p w14:paraId="34098398">
      <w:pPr>
        <w:pStyle w:val="4"/>
        <w:numPr>
          <w:ilvl w:val="0"/>
          <w:numId w:val="1"/>
        </w:numPr>
        <w:spacing w:line="360" w:lineRule="auto"/>
        <w:rPr>
          <w:rFonts w:hint="eastAsia" w:ascii="宋体" w:hAnsi="宋体"/>
          <w:sz w:val="24"/>
          <w:szCs w:val="24"/>
        </w:rPr>
      </w:pPr>
      <w:bookmarkStart w:id="3" w:name="_Toc196135356"/>
      <w:r>
        <w:rPr>
          <w:rFonts w:hint="eastAsia" w:ascii="宋体" w:hAnsi="宋体"/>
          <w:sz w:val="24"/>
          <w:szCs w:val="24"/>
        </w:rPr>
        <w:t>招标项目</w:t>
      </w:r>
      <w:bookmarkEnd w:id="3"/>
    </w:p>
    <w:p w14:paraId="6C0A35F5">
      <w:pPr>
        <w:spacing w:line="360" w:lineRule="auto"/>
        <w:ind w:firstLine="480" w:firstLineChars="200"/>
        <w:rPr>
          <w:rFonts w:hint="eastAsia" w:asciiTheme="minorEastAsia" w:hAnsiTheme="minorEastAsia" w:eastAsiaTheme="minorEastAsia"/>
          <w:szCs w:val="24"/>
          <w:lang w:eastAsia="zh-CN"/>
        </w:rPr>
      </w:pPr>
      <w:r>
        <w:rPr>
          <w:rFonts w:hint="eastAsia" w:asciiTheme="minorEastAsia" w:hAnsiTheme="minorEastAsia" w:eastAsiaTheme="minorEastAsia"/>
          <w:szCs w:val="24"/>
          <w:lang w:eastAsia="zh-CN"/>
        </w:rPr>
        <w:t>IDC新一代网络升级项目三期</w:t>
      </w:r>
    </w:p>
    <w:p w14:paraId="5EC4ECBE">
      <w:pPr>
        <w:pStyle w:val="5"/>
        <w:numPr>
          <w:ilvl w:val="1"/>
          <w:numId w:val="1"/>
        </w:num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招标人简介</w:t>
      </w:r>
    </w:p>
    <w:p w14:paraId="43BB0EDD">
      <w:pPr>
        <w:spacing w:line="360" w:lineRule="auto"/>
        <w:ind w:firstLine="480" w:firstLineChars="200"/>
        <w:rPr>
          <w:rFonts w:ascii="Arial" w:hAnsi="Arial" w:cs="Arial"/>
          <w:color w:val="333333"/>
          <w:shd w:val="clear" w:color="auto" w:fill="FFFFFF"/>
        </w:rPr>
      </w:pPr>
      <w:r>
        <w:rPr>
          <w:rFonts w:hint="eastAsia" w:ascii="Arial" w:hAnsi="Arial" w:cs="Arial"/>
          <w:color w:val="333333"/>
          <w:shd w:val="clear" w:color="auto" w:fill="FFFFFF"/>
        </w:rPr>
        <w:t>中天国富证券（下称“公司”）成立于 2004 年，由中天金融集团股份有限公司控股，以贵阳、深圳、上海、北京为核心设立15家分公司，并下设深圳市中天佳汇股权投资管理有限公司、贵阳中天佳创投资有限公司两家全资子公司。公司业务涵盖证券承销与保荐、证券经纪和证券自营，依托不断完善的综合业务服务体系，为中小企业和高净值客户提供全方位服务。</w:t>
      </w:r>
    </w:p>
    <w:p w14:paraId="7A3605F4">
      <w:pPr>
        <w:spacing w:line="360" w:lineRule="auto"/>
        <w:ind w:firstLine="480" w:firstLineChars="200"/>
        <w:rPr>
          <w:rFonts w:ascii="Arial" w:hAnsi="Arial" w:cs="Arial"/>
          <w:color w:val="333333"/>
          <w:shd w:val="clear" w:color="auto" w:fill="FFFFFF"/>
        </w:rPr>
      </w:pPr>
    </w:p>
    <w:p w14:paraId="058F6166">
      <w:pPr>
        <w:spacing w:line="360" w:lineRule="auto"/>
        <w:ind w:firstLine="480" w:firstLineChars="200"/>
        <w:rPr>
          <w:rFonts w:hint="eastAsia" w:asciiTheme="minorEastAsia" w:hAnsiTheme="minorEastAsia" w:eastAsiaTheme="minorEastAsia"/>
          <w:szCs w:val="24"/>
        </w:rPr>
      </w:pPr>
      <w:r>
        <w:rPr>
          <w:rFonts w:hint="eastAsia" w:ascii="Arial" w:hAnsi="Arial" w:cs="Arial"/>
          <w:color w:val="333333"/>
          <w:shd w:val="clear" w:color="auto" w:fill="FFFFFF"/>
        </w:rPr>
        <w:t>公司聚焦主业，投行、投资业务持续发力，收入规模持续增长，市场影响力进一步增强。公司坚持“优先发展、创新发展、协同发展、精细化发展”四大战略，坚持“创造价值、分享价值”的核心价值理念，坚定不移的做大做强做精投行这一支柱业务，积极推动“投行+”业务模式，不断丰富业务线，践行研究驱动投资的投资理念，努力提高公司综合业务及服务能力，逐步推动公司迈入行业一线梯队，使公司成为股东满意、客户信赖、社会尊重、员工自豪的国内知名的特色精品券商。</w:t>
      </w:r>
    </w:p>
    <w:p w14:paraId="68982DFD">
      <w:pPr>
        <w:pStyle w:val="5"/>
        <w:numPr>
          <w:ilvl w:val="1"/>
          <w:numId w:val="1"/>
        </w:numPr>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方案简介</w:t>
      </w:r>
    </w:p>
    <w:p w14:paraId="31293BFF">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3.2.1 升级替换数据中心和办公职场共57台网络设备</w:t>
      </w:r>
    </w:p>
    <w:p w14:paraId="15EF6D7F">
      <w:pPr>
        <w:spacing w:line="360" w:lineRule="auto"/>
        <w:ind w:firstLine="480" w:firstLineChars="200"/>
        <w:rPr>
          <w:rFonts w:hint="eastAsia" w:asciiTheme="minorEastAsia" w:hAnsiTheme="minorEastAsia" w:eastAsiaTheme="minorEastAsia"/>
          <w:szCs w:val="24"/>
        </w:rPr>
      </w:pPr>
      <w:bookmarkStart w:id="4" w:name="_Hlk196135429"/>
      <w:r>
        <w:rPr>
          <w:rFonts w:hint="eastAsia" w:asciiTheme="minorEastAsia" w:hAnsiTheme="minorEastAsia" w:eastAsiaTheme="minorEastAsia"/>
          <w:szCs w:val="24"/>
        </w:rPr>
        <w:t>升级替换深圳IDC 43台网络设备，贵阳IDC 6台网络设备，深圳储能大厦职场4台网络设备，贵阳北七塔大厦职场4台网络设备。</w:t>
      </w:r>
    </w:p>
    <w:bookmarkEnd w:id="4"/>
    <w:p w14:paraId="1D485C08">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3.2.2 配合完成贵阳IDC部分网络区域迁移到深圳的网络变更</w:t>
      </w:r>
    </w:p>
    <w:p w14:paraId="7BFF6FE7">
      <w:pPr>
        <w:spacing w:line="360" w:lineRule="auto"/>
        <w:ind w:firstLine="480" w:firstLineChars="200"/>
        <w:rPr>
          <w:rFonts w:hint="eastAsia" w:asciiTheme="minorEastAsia" w:hAnsiTheme="minorEastAsia" w:eastAsiaTheme="minorEastAsia"/>
          <w:szCs w:val="24"/>
        </w:rPr>
      </w:pPr>
      <w:bookmarkStart w:id="5" w:name="_Hlk196135580"/>
      <w:r>
        <w:rPr>
          <w:rFonts w:hint="eastAsia" w:asciiTheme="minorEastAsia" w:hAnsiTheme="minorEastAsia" w:eastAsiaTheme="minorEastAsia"/>
          <w:szCs w:val="24"/>
        </w:rPr>
        <w:t>贵阳IDC办公区、办公互联网区、测试区、DMZ区等4个区域业务需要迁移到深圳IDC，需配合我司网络变更。</w:t>
      </w:r>
    </w:p>
    <w:bookmarkEnd w:id="5"/>
    <w:p w14:paraId="1174D852">
      <w:pPr>
        <w:spacing w:line="360" w:lineRule="auto"/>
        <w:ind w:firstLine="480" w:firstLineChars="200"/>
        <w:rPr>
          <w:rFonts w:hint="eastAsia" w:asciiTheme="minorEastAsia" w:hAnsiTheme="minorEastAsia" w:eastAsiaTheme="minorEastAsia"/>
          <w:szCs w:val="24"/>
        </w:rPr>
      </w:pPr>
    </w:p>
    <w:p w14:paraId="4A9B8EBD">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招标需求及</w:t>
      </w:r>
      <w:r>
        <w:rPr>
          <w:rFonts w:asciiTheme="minorEastAsia" w:hAnsiTheme="minorEastAsia" w:eastAsiaTheme="minorEastAsia"/>
          <w:sz w:val="24"/>
          <w:szCs w:val="24"/>
        </w:rPr>
        <w:t>范围</w:t>
      </w:r>
    </w:p>
    <w:p w14:paraId="4CBFD767">
      <w:pPr>
        <w:spacing w:line="360" w:lineRule="auto"/>
        <w:ind w:firstLine="480" w:firstLineChars="200"/>
        <w:rPr>
          <w:rFonts w:hint="eastAsia" w:asciiTheme="minorEastAsia" w:hAnsiTheme="minorEastAsia" w:eastAsiaTheme="minorEastAsia"/>
          <w:szCs w:val="24"/>
        </w:rPr>
      </w:pPr>
      <w:bookmarkStart w:id="6" w:name="_Hlk196136151"/>
      <w:r>
        <w:rPr>
          <w:rFonts w:hint="eastAsia" w:asciiTheme="minorEastAsia" w:hAnsiTheme="minorEastAsia" w:eastAsiaTheme="minorEastAsia"/>
          <w:szCs w:val="24"/>
        </w:rPr>
        <w:t>本项目涉及升级替换的57台网络设备（见附件1：设备采购报价清单），包括8台负载均衡、10台防火墙、30台交换机、9台路由器。并包含对旧设备进行替换、区域迁移的项目集成服务；本项目采购网络设备电源要求冗余，设备要求5年维保，要求原厂实施，并提供项目实施所需网线。</w:t>
      </w:r>
    </w:p>
    <w:bookmarkEnd w:id="6"/>
    <w:tbl>
      <w:tblPr>
        <w:tblStyle w:val="19"/>
        <w:tblW w:w="8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420"/>
        <w:gridCol w:w="1420"/>
        <w:gridCol w:w="3320"/>
        <w:gridCol w:w="945"/>
      </w:tblGrid>
      <w:tr w14:paraId="16F8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10" w:type="dxa"/>
            <w:shd w:val="clear" w:color="auto" w:fill="auto"/>
            <w:noWrap/>
            <w:vAlign w:val="center"/>
          </w:tcPr>
          <w:p w14:paraId="76B77616">
            <w:pPr>
              <w:widowControl/>
              <w:jc w:val="center"/>
              <w:rPr>
                <w:rFonts w:hint="eastAsia" w:ascii="宋体" w:hAnsi="宋体" w:cs="宋体"/>
                <w:color w:val="000000"/>
                <w:kern w:val="0"/>
                <w:sz w:val="22"/>
              </w:rPr>
            </w:pPr>
            <w:bookmarkStart w:id="7" w:name="_Hlk196135962"/>
            <w:r>
              <w:rPr>
                <w:rFonts w:hint="eastAsia" w:ascii="宋体" w:hAnsi="宋体" w:cs="宋体"/>
                <w:color w:val="000000"/>
                <w:kern w:val="0"/>
                <w:sz w:val="22"/>
              </w:rPr>
              <w:t>序号</w:t>
            </w:r>
          </w:p>
        </w:tc>
        <w:tc>
          <w:tcPr>
            <w:tcW w:w="1420" w:type="dxa"/>
            <w:shd w:val="clear" w:color="auto" w:fill="auto"/>
            <w:noWrap/>
            <w:vAlign w:val="center"/>
          </w:tcPr>
          <w:p w14:paraId="773A2ADE">
            <w:pPr>
              <w:widowControl/>
              <w:jc w:val="center"/>
              <w:rPr>
                <w:rFonts w:hint="eastAsia" w:ascii="宋体" w:hAnsi="宋体" w:cs="宋体"/>
                <w:color w:val="000000"/>
                <w:kern w:val="0"/>
                <w:sz w:val="22"/>
              </w:rPr>
            </w:pPr>
            <w:r>
              <w:rPr>
                <w:rFonts w:hint="eastAsia" w:ascii="宋体" w:hAnsi="宋体" w:cs="宋体"/>
                <w:color w:val="000000"/>
                <w:kern w:val="0"/>
                <w:sz w:val="22"/>
              </w:rPr>
              <w:t>数据中心</w:t>
            </w:r>
          </w:p>
        </w:tc>
        <w:tc>
          <w:tcPr>
            <w:tcW w:w="1420" w:type="dxa"/>
            <w:shd w:val="clear" w:color="auto" w:fill="auto"/>
            <w:noWrap/>
            <w:vAlign w:val="center"/>
          </w:tcPr>
          <w:p w14:paraId="0D8B70AD">
            <w:pPr>
              <w:widowControl/>
              <w:jc w:val="center"/>
              <w:rPr>
                <w:rFonts w:hint="eastAsia" w:ascii="宋体" w:hAnsi="宋体" w:cs="宋体"/>
                <w:color w:val="000000"/>
                <w:kern w:val="0"/>
                <w:sz w:val="22"/>
              </w:rPr>
            </w:pPr>
            <w:r>
              <w:rPr>
                <w:rFonts w:hint="eastAsia" w:ascii="宋体" w:hAnsi="宋体" w:cs="宋体"/>
                <w:color w:val="000000"/>
                <w:kern w:val="0"/>
                <w:sz w:val="22"/>
              </w:rPr>
              <w:t>区域</w:t>
            </w:r>
          </w:p>
        </w:tc>
        <w:tc>
          <w:tcPr>
            <w:tcW w:w="3320" w:type="dxa"/>
            <w:shd w:val="clear" w:color="auto" w:fill="auto"/>
            <w:noWrap/>
            <w:vAlign w:val="center"/>
          </w:tcPr>
          <w:p w14:paraId="396E5139">
            <w:pPr>
              <w:widowControl/>
              <w:jc w:val="center"/>
              <w:rPr>
                <w:rFonts w:hint="eastAsia" w:ascii="宋体" w:hAnsi="宋体" w:cs="宋体"/>
                <w:color w:val="000000"/>
                <w:kern w:val="0"/>
                <w:sz w:val="22"/>
              </w:rPr>
            </w:pPr>
            <w:r>
              <w:rPr>
                <w:rFonts w:hint="eastAsia" w:ascii="宋体" w:hAnsi="宋体" w:cs="宋体"/>
                <w:color w:val="000000"/>
                <w:kern w:val="0"/>
                <w:sz w:val="22"/>
              </w:rPr>
              <w:t>设备类型</w:t>
            </w:r>
          </w:p>
        </w:tc>
        <w:tc>
          <w:tcPr>
            <w:tcW w:w="945" w:type="dxa"/>
            <w:shd w:val="clear" w:color="auto" w:fill="auto"/>
            <w:noWrap/>
            <w:vAlign w:val="center"/>
          </w:tcPr>
          <w:p w14:paraId="582ED045">
            <w:pPr>
              <w:widowControl/>
              <w:jc w:val="center"/>
              <w:rPr>
                <w:rFonts w:hint="eastAsia" w:ascii="宋体" w:hAnsi="宋体" w:cs="宋体"/>
                <w:color w:val="000000"/>
                <w:kern w:val="0"/>
                <w:sz w:val="22"/>
              </w:rPr>
            </w:pPr>
            <w:r>
              <w:rPr>
                <w:rFonts w:hint="eastAsia" w:ascii="宋体" w:hAnsi="宋体" w:cs="宋体"/>
                <w:color w:val="000000"/>
                <w:kern w:val="0"/>
                <w:sz w:val="22"/>
              </w:rPr>
              <w:t>数量</w:t>
            </w:r>
          </w:p>
        </w:tc>
      </w:tr>
      <w:tr w14:paraId="3E67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641267A7">
            <w:pPr>
              <w:widowControl/>
              <w:jc w:val="center"/>
              <w:rPr>
                <w:rFonts w:hint="eastAsia" w:ascii="宋体" w:hAnsi="宋体" w:cs="宋体"/>
                <w:color w:val="000000"/>
                <w:kern w:val="0"/>
                <w:sz w:val="22"/>
              </w:rPr>
            </w:pPr>
            <w:r>
              <w:rPr>
                <w:rFonts w:hint="eastAsia" w:ascii="宋体" w:hAnsi="宋体" w:cs="宋体"/>
                <w:color w:val="000000"/>
                <w:kern w:val="0"/>
                <w:sz w:val="22"/>
              </w:rPr>
              <w:t>1</w:t>
            </w:r>
          </w:p>
        </w:tc>
        <w:tc>
          <w:tcPr>
            <w:tcW w:w="1420" w:type="dxa"/>
            <w:shd w:val="clear" w:color="auto" w:fill="auto"/>
            <w:noWrap/>
            <w:vAlign w:val="center"/>
          </w:tcPr>
          <w:p w14:paraId="311F5FE4">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1BAE68B9">
            <w:pPr>
              <w:widowControl/>
              <w:jc w:val="center"/>
              <w:rPr>
                <w:rFonts w:hint="eastAsia" w:ascii="宋体" w:hAnsi="宋体" w:cs="宋体"/>
                <w:color w:val="000000"/>
                <w:kern w:val="0"/>
                <w:sz w:val="22"/>
              </w:rPr>
            </w:pPr>
            <w:r>
              <w:rPr>
                <w:rFonts w:hint="eastAsia" w:ascii="宋体" w:hAnsi="宋体" w:cs="宋体"/>
                <w:color w:val="000000"/>
                <w:kern w:val="0"/>
                <w:sz w:val="22"/>
              </w:rPr>
              <w:t>办公互联网</w:t>
            </w:r>
          </w:p>
        </w:tc>
        <w:tc>
          <w:tcPr>
            <w:tcW w:w="3320" w:type="dxa"/>
            <w:shd w:val="clear" w:color="auto" w:fill="auto"/>
            <w:noWrap/>
            <w:vAlign w:val="center"/>
          </w:tcPr>
          <w:p w14:paraId="0CF45235">
            <w:pPr>
              <w:widowControl/>
              <w:jc w:val="center"/>
              <w:rPr>
                <w:rFonts w:hint="eastAsia" w:ascii="宋体" w:hAnsi="宋体" w:cs="宋体"/>
                <w:color w:val="000000"/>
                <w:kern w:val="0"/>
                <w:sz w:val="22"/>
              </w:rPr>
            </w:pPr>
            <w:r>
              <w:rPr>
                <w:rFonts w:hint="eastAsia" w:ascii="宋体" w:hAnsi="宋体" w:cs="宋体"/>
                <w:color w:val="000000"/>
                <w:kern w:val="0"/>
                <w:sz w:val="22"/>
              </w:rPr>
              <w:t>千兆防火墙（互联网区外墙）</w:t>
            </w:r>
          </w:p>
        </w:tc>
        <w:tc>
          <w:tcPr>
            <w:tcW w:w="945" w:type="dxa"/>
            <w:shd w:val="clear" w:color="auto" w:fill="auto"/>
            <w:noWrap/>
            <w:vAlign w:val="center"/>
          </w:tcPr>
          <w:p w14:paraId="14027C4B">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20E4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13CB6AE9">
            <w:pPr>
              <w:widowControl/>
              <w:jc w:val="center"/>
              <w:rPr>
                <w:rFonts w:hint="eastAsia" w:ascii="宋体" w:hAnsi="宋体" w:cs="宋体"/>
                <w:color w:val="000000"/>
                <w:kern w:val="0"/>
                <w:sz w:val="22"/>
              </w:rPr>
            </w:pPr>
            <w:r>
              <w:rPr>
                <w:rFonts w:hint="eastAsia" w:ascii="宋体" w:hAnsi="宋体" w:cs="宋体"/>
                <w:color w:val="000000"/>
                <w:kern w:val="0"/>
                <w:sz w:val="22"/>
              </w:rPr>
              <w:t>2</w:t>
            </w:r>
          </w:p>
        </w:tc>
        <w:tc>
          <w:tcPr>
            <w:tcW w:w="1420" w:type="dxa"/>
            <w:shd w:val="clear" w:color="auto" w:fill="auto"/>
            <w:noWrap/>
            <w:vAlign w:val="center"/>
          </w:tcPr>
          <w:p w14:paraId="7DD131F3">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5D763827">
            <w:pPr>
              <w:widowControl/>
              <w:jc w:val="center"/>
              <w:rPr>
                <w:rFonts w:hint="eastAsia" w:ascii="宋体" w:hAnsi="宋体" w:cs="宋体"/>
                <w:color w:val="000000"/>
                <w:kern w:val="0"/>
                <w:sz w:val="22"/>
              </w:rPr>
            </w:pPr>
            <w:r>
              <w:rPr>
                <w:rFonts w:hint="eastAsia" w:ascii="宋体" w:hAnsi="宋体" w:cs="宋体"/>
                <w:color w:val="000000"/>
                <w:kern w:val="0"/>
                <w:sz w:val="22"/>
              </w:rPr>
              <w:t>办公互联网</w:t>
            </w:r>
          </w:p>
        </w:tc>
        <w:tc>
          <w:tcPr>
            <w:tcW w:w="3320" w:type="dxa"/>
            <w:shd w:val="clear" w:color="auto" w:fill="auto"/>
            <w:noWrap/>
            <w:vAlign w:val="center"/>
          </w:tcPr>
          <w:p w14:paraId="1B551A32">
            <w:pPr>
              <w:widowControl/>
              <w:jc w:val="center"/>
              <w:rPr>
                <w:rFonts w:hint="eastAsia" w:ascii="宋体" w:hAnsi="宋体" w:cs="宋体"/>
                <w:color w:val="000000"/>
                <w:kern w:val="0"/>
                <w:sz w:val="22"/>
              </w:rPr>
            </w:pPr>
            <w:r>
              <w:rPr>
                <w:rFonts w:hint="eastAsia" w:ascii="宋体" w:hAnsi="宋体" w:cs="宋体"/>
                <w:color w:val="000000"/>
                <w:kern w:val="0"/>
                <w:sz w:val="22"/>
              </w:rPr>
              <w:t>负载均衡（数据中心）</w:t>
            </w:r>
          </w:p>
        </w:tc>
        <w:tc>
          <w:tcPr>
            <w:tcW w:w="945" w:type="dxa"/>
            <w:shd w:val="clear" w:color="auto" w:fill="auto"/>
            <w:noWrap/>
            <w:vAlign w:val="center"/>
          </w:tcPr>
          <w:p w14:paraId="2ADAA477">
            <w:pPr>
              <w:widowControl/>
              <w:jc w:val="center"/>
              <w:rPr>
                <w:rFonts w:hint="eastAsia" w:ascii="宋体" w:hAnsi="宋体" w:cs="宋体"/>
                <w:color w:val="000000"/>
                <w:kern w:val="0"/>
                <w:sz w:val="22"/>
              </w:rPr>
            </w:pPr>
            <w:r>
              <w:rPr>
                <w:rFonts w:hint="eastAsia" w:ascii="宋体" w:hAnsi="宋体" w:cs="宋体"/>
                <w:color w:val="000000"/>
                <w:kern w:val="0"/>
                <w:sz w:val="22"/>
              </w:rPr>
              <w:t>4</w:t>
            </w:r>
          </w:p>
        </w:tc>
      </w:tr>
      <w:tr w14:paraId="2957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10" w:type="dxa"/>
            <w:shd w:val="clear" w:color="auto" w:fill="auto"/>
            <w:noWrap/>
            <w:vAlign w:val="center"/>
          </w:tcPr>
          <w:p w14:paraId="6EB1A96F">
            <w:pPr>
              <w:widowControl/>
              <w:jc w:val="center"/>
              <w:rPr>
                <w:rFonts w:hint="eastAsia" w:ascii="宋体" w:hAnsi="宋体" w:cs="宋体"/>
                <w:color w:val="000000"/>
                <w:kern w:val="0"/>
                <w:sz w:val="22"/>
              </w:rPr>
            </w:pPr>
            <w:r>
              <w:rPr>
                <w:rFonts w:hint="eastAsia" w:ascii="宋体" w:hAnsi="宋体" w:cs="宋体"/>
                <w:color w:val="000000"/>
                <w:kern w:val="0"/>
                <w:sz w:val="22"/>
              </w:rPr>
              <w:t>3</w:t>
            </w:r>
          </w:p>
        </w:tc>
        <w:tc>
          <w:tcPr>
            <w:tcW w:w="1420" w:type="dxa"/>
            <w:shd w:val="clear" w:color="auto" w:fill="auto"/>
            <w:noWrap/>
            <w:vAlign w:val="center"/>
          </w:tcPr>
          <w:p w14:paraId="30BE0009">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041424BA">
            <w:pPr>
              <w:widowControl/>
              <w:jc w:val="center"/>
              <w:rPr>
                <w:rFonts w:hint="eastAsia" w:ascii="宋体" w:hAnsi="宋体" w:cs="宋体"/>
                <w:color w:val="000000"/>
                <w:kern w:val="0"/>
                <w:sz w:val="22"/>
              </w:rPr>
            </w:pPr>
            <w:r>
              <w:rPr>
                <w:rFonts w:hint="eastAsia" w:ascii="宋体" w:hAnsi="宋体" w:cs="宋体"/>
                <w:color w:val="000000"/>
                <w:kern w:val="0"/>
                <w:sz w:val="22"/>
              </w:rPr>
              <w:t>办公互联网</w:t>
            </w:r>
          </w:p>
        </w:tc>
        <w:tc>
          <w:tcPr>
            <w:tcW w:w="3320" w:type="dxa"/>
            <w:shd w:val="clear" w:color="auto" w:fill="auto"/>
            <w:noWrap/>
            <w:vAlign w:val="center"/>
          </w:tcPr>
          <w:p w14:paraId="13D1A3AD">
            <w:pPr>
              <w:widowControl/>
              <w:jc w:val="center"/>
              <w:rPr>
                <w:rFonts w:hint="eastAsia" w:ascii="宋体" w:hAnsi="宋体" w:cs="宋体"/>
                <w:color w:val="000000"/>
                <w:kern w:val="0"/>
                <w:sz w:val="22"/>
              </w:rPr>
            </w:pPr>
            <w:r>
              <w:rPr>
                <w:rFonts w:hint="eastAsia" w:ascii="宋体" w:hAnsi="宋体" w:cs="宋体"/>
                <w:color w:val="000000"/>
                <w:kern w:val="0"/>
                <w:sz w:val="22"/>
              </w:rPr>
              <w:t>万兆交换机</w:t>
            </w:r>
          </w:p>
        </w:tc>
        <w:tc>
          <w:tcPr>
            <w:tcW w:w="945" w:type="dxa"/>
            <w:shd w:val="clear" w:color="auto" w:fill="auto"/>
            <w:noWrap/>
            <w:vAlign w:val="center"/>
          </w:tcPr>
          <w:p w14:paraId="6C80EED9">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08AE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2E40C5B6">
            <w:pPr>
              <w:widowControl/>
              <w:jc w:val="center"/>
              <w:rPr>
                <w:rFonts w:hint="eastAsia" w:ascii="宋体" w:hAnsi="宋体" w:cs="宋体"/>
                <w:color w:val="000000"/>
                <w:kern w:val="0"/>
                <w:sz w:val="22"/>
              </w:rPr>
            </w:pPr>
            <w:r>
              <w:rPr>
                <w:rFonts w:hint="eastAsia" w:ascii="宋体" w:hAnsi="宋体" w:cs="宋体"/>
                <w:color w:val="000000"/>
                <w:kern w:val="0"/>
                <w:sz w:val="22"/>
              </w:rPr>
              <w:t>4</w:t>
            </w:r>
          </w:p>
        </w:tc>
        <w:tc>
          <w:tcPr>
            <w:tcW w:w="1420" w:type="dxa"/>
            <w:shd w:val="clear" w:color="auto" w:fill="auto"/>
            <w:noWrap/>
            <w:vAlign w:val="center"/>
          </w:tcPr>
          <w:p w14:paraId="05EDA7E5">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094EA854">
            <w:pPr>
              <w:widowControl/>
              <w:jc w:val="center"/>
              <w:rPr>
                <w:rFonts w:hint="eastAsia" w:ascii="宋体" w:hAnsi="宋体" w:cs="宋体"/>
                <w:color w:val="000000"/>
                <w:kern w:val="0"/>
                <w:sz w:val="22"/>
              </w:rPr>
            </w:pPr>
            <w:r>
              <w:rPr>
                <w:rFonts w:hint="eastAsia" w:ascii="宋体" w:hAnsi="宋体" w:cs="宋体"/>
                <w:color w:val="000000"/>
                <w:kern w:val="0"/>
                <w:sz w:val="22"/>
              </w:rPr>
              <w:t>办公互联网</w:t>
            </w:r>
          </w:p>
        </w:tc>
        <w:tc>
          <w:tcPr>
            <w:tcW w:w="3320" w:type="dxa"/>
            <w:shd w:val="clear" w:color="auto" w:fill="auto"/>
            <w:noWrap/>
            <w:vAlign w:val="center"/>
          </w:tcPr>
          <w:p w14:paraId="299C5178">
            <w:pPr>
              <w:widowControl/>
              <w:jc w:val="center"/>
              <w:rPr>
                <w:rFonts w:hint="eastAsia" w:ascii="宋体" w:hAnsi="宋体" w:cs="宋体"/>
                <w:color w:val="000000"/>
                <w:kern w:val="0"/>
                <w:sz w:val="22"/>
              </w:rPr>
            </w:pPr>
            <w:r>
              <w:rPr>
                <w:rFonts w:hint="eastAsia" w:ascii="宋体" w:hAnsi="宋体" w:cs="宋体"/>
                <w:color w:val="000000"/>
                <w:kern w:val="0"/>
                <w:sz w:val="22"/>
              </w:rPr>
              <w:t>万兆防火墙(互联网区内墙)</w:t>
            </w:r>
          </w:p>
        </w:tc>
        <w:tc>
          <w:tcPr>
            <w:tcW w:w="945" w:type="dxa"/>
            <w:shd w:val="clear" w:color="auto" w:fill="auto"/>
            <w:noWrap/>
            <w:vAlign w:val="center"/>
          </w:tcPr>
          <w:p w14:paraId="6CEE2FD9">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2818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2B8D144B">
            <w:pPr>
              <w:widowControl/>
              <w:jc w:val="center"/>
              <w:rPr>
                <w:rFonts w:hint="eastAsia" w:ascii="宋体" w:hAnsi="宋体" w:cs="宋体"/>
                <w:color w:val="000000"/>
                <w:kern w:val="0"/>
                <w:sz w:val="22"/>
              </w:rPr>
            </w:pPr>
            <w:r>
              <w:rPr>
                <w:rFonts w:hint="eastAsia" w:ascii="宋体" w:hAnsi="宋体" w:cs="宋体"/>
                <w:color w:val="000000"/>
                <w:kern w:val="0"/>
                <w:sz w:val="22"/>
              </w:rPr>
              <w:t>5</w:t>
            </w:r>
          </w:p>
        </w:tc>
        <w:tc>
          <w:tcPr>
            <w:tcW w:w="1420" w:type="dxa"/>
            <w:shd w:val="clear" w:color="auto" w:fill="auto"/>
            <w:noWrap/>
            <w:vAlign w:val="center"/>
          </w:tcPr>
          <w:p w14:paraId="5E504D39">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49AF6497">
            <w:pPr>
              <w:widowControl/>
              <w:jc w:val="center"/>
              <w:rPr>
                <w:rFonts w:hint="eastAsia" w:ascii="宋体" w:hAnsi="宋体" w:cs="宋体"/>
                <w:color w:val="000000"/>
                <w:kern w:val="0"/>
                <w:sz w:val="22"/>
              </w:rPr>
            </w:pPr>
            <w:r>
              <w:rPr>
                <w:rFonts w:hint="eastAsia" w:ascii="宋体" w:hAnsi="宋体" w:cs="宋体"/>
                <w:color w:val="000000"/>
                <w:kern w:val="0"/>
                <w:sz w:val="22"/>
              </w:rPr>
              <w:t>办公互联网</w:t>
            </w:r>
          </w:p>
        </w:tc>
        <w:tc>
          <w:tcPr>
            <w:tcW w:w="3320" w:type="dxa"/>
            <w:shd w:val="clear" w:color="auto" w:fill="auto"/>
            <w:noWrap/>
            <w:vAlign w:val="center"/>
          </w:tcPr>
          <w:p w14:paraId="68B2C95F">
            <w:pPr>
              <w:widowControl/>
              <w:jc w:val="center"/>
              <w:rPr>
                <w:rFonts w:hint="eastAsia" w:ascii="宋体" w:hAnsi="宋体" w:cs="宋体"/>
                <w:color w:val="000000"/>
                <w:kern w:val="0"/>
                <w:sz w:val="22"/>
              </w:rPr>
            </w:pPr>
            <w:r>
              <w:rPr>
                <w:rFonts w:hint="eastAsia" w:ascii="宋体" w:hAnsi="宋体" w:cs="宋体"/>
                <w:color w:val="000000"/>
                <w:kern w:val="0"/>
                <w:sz w:val="22"/>
              </w:rPr>
              <w:t>千兆交换机（专线接入）</w:t>
            </w:r>
          </w:p>
        </w:tc>
        <w:tc>
          <w:tcPr>
            <w:tcW w:w="945" w:type="dxa"/>
            <w:shd w:val="clear" w:color="auto" w:fill="auto"/>
            <w:noWrap/>
            <w:vAlign w:val="center"/>
          </w:tcPr>
          <w:p w14:paraId="2DE43D85">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4D03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5DB216AE">
            <w:pPr>
              <w:widowControl/>
              <w:jc w:val="center"/>
              <w:rPr>
                <w:rFonts w:hint="eastAsia" w:ascii="宋体" w:hAnsi="宋体" w:cs="宋体"/>
                <w:color w:val="000000"/>
                <w:kern w:val="0"/>
                <w:sz w:val="22"/>
              </w:rPr>
            </w:pPr>
            <w:r>
              <w:rPr>
                <w:rFonts w:hint="eastAsia" w:ascii="宋体" w:hAnsi="宋体" w:cs="宋体"/>
                <w:color w:val="000000"/>
                <w:kern w:val="0"/>
                <w:sz w:val="22"/>
              </w:rPr>
              <w:t>6</w:t>
            </w:r>
          </w:p>
        </w:tc>
        <w:tc>
          <w:tcPr>
            <w:tcW w:w="1420" w:type="dxa"/>
            <w:shd w:val="clear" w:color="auto" w:fill="auto"/>
            <w:noWrap/>
            <w:vAlign w:val="center"/>
          </w:tcPr>
          <w:p w14:paraId="141CF0D3">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354F7970">
            <w:pPr>
              <w:widowControl/>
              <w:jc w:val="center"/>
              <w:rPr>
                <w:rFonts w:hint="eastAsia" w:ascii="宋体" w:hAnsi="宋体" w:cs="宋体"/>
                <w:color w:val="000000"/>
                <w:kern w:val="0"/>
                <w:sz w:val="22"/>
              </w:rPr>
            </w:pPr>
            <w:r>
              <w:rPr>
                <w:rFonts w:hint="eastAsia" w:ascii="宋体" w:hAnsi="宋体" w:cs="宋体"/>
                <w:color w:val="000000"/>
                <w:kern w:val="0"/>
                <w:sz w:val="22"/>
              </w:rPr>
              <w:t>办公区</w:t>
            </w:r>
          </w:p>
        </w:tc>
        <w:tc>
          <w:tcPr>
            <w:tcW w:w="3320" w:type="dxa"/>
            <w:shd w:val="clear" w:color="auto" w:fill="auto"/>
            <w:noWrap/>
            <w:vAlign w:val="center"/>
          </w:tcPr>
          <w:p w14:paraId="44F28CA9">
            <w:pPr>
              <w:widowControl/>
              <w:jc w:val="center"/>
              <w:rPr>
                <w:rFonts w:hint="eastAsia" w:ascii="宋体" w:hAnsi="宋体" w:cs="宋体"/>
                <w:color w:val="000000"/>
                <w:kern w:val="0"/>
                <w:sz w:val="22"/>
              </w:rPr>
            </w:pPr>
            <w:r>
              <w:rPr>
                <w:rFonts w:hint="eastAsia" w:ascii="宋体" w:hAnsi="宋体" w:cs="宋体"/>
                <w:color w:val="000000"/>
                <w:kern w:val="0"/>
                <w:sz w:val="22"/>
              </w:rPr>
              <w:t>万兆交换机</w:t>
            </w:r>
          </w:p>
        </w:tc>
        <w:tc>
          <w:tcPr>
            <w:tcW w:w="945" w:type="dxa"/>
            <w:shd w:val="clear" w:color="auto" w:fill="auto"/>
            <w:noWrap/>
            <w:vAlign w:val="center"/>
          </w:tcPr>
          <w:p w14:paraId="280B1A78">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34C6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0F573BD7">
            <w:pPr>
              <w:widowControl/>
              <w:jc w:val="center"/>
              <w:rPr>
                <w:rFonts w:hint="eastAsia" w:ascii="宋体" w:hAnsi="宋体" w:cs="宋体"/>
                <w:color w:val="000000"/>
                <w:kern w:val="0"/>
                <w:sz w:val="22"/>
              </w:rPr>
            </w:pPr>
            <w:r>
              <w:rPr>
                <w:rFonts w:hint="eastAsia" w:ascii="宋体" w:hAnsi="宋体" w:cs="宋体"/>
                <w:color w:val="000000"/>
                <w:kern w:val="0"/>
                <w:sz w:val="22"/>
              </w:rPr>
              <w:t>7</w:t>
            </w:r>
          </w:p>
        </w:tc>
        <w:tc>
          <w:tcPr>
            <w:tcW w:w="1420" w:type="dxa"/>
            <w:shd w:val="clear" w:color="auto" w:fill="auto"/>
            <w:noWrap/>
            <w:vAlign w:val="center"/>
          </w:tcPr>
          <w:p w14:paraId="209F5869">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1C0F7B8E">
            <w:pPr>
              <w:widowControl/>
              <w:jc w:val="center"/>
              <w:rPr>
                <w:rFonts w:hint="eastAsia" w:ascii="宋体" w:hAnsi="宋体" w:cs="宋体"/>
                <w:color w:val="000000"/>
                <w:kern w:val="0"/>
                <w:sz w:val="22"/>
              </w:rPr>
            </w:pPr>
            <w:r>
              <w:rPr>
                <w:rFonts w:hint="eastAsia" w:ascii="宋体" w:hAnsi="宋体" w:cs="宋体"/>
                <w:color w:val="000000"/>
                <w:kern w:val="0"/>
                <w:sz w:val="22"/>
              </w:rPr>
              <w:t>广域网区</w:t>
            </w:r>
          </w:p>
        </w:tc>
        <w:tc>
          <w:tcPr>
            <w:tcW w:w="3320" w:type="dxa"/>
            <w:shd w:val="clear" w:color="auto" w:fill="auto"/>
            <w:noWrap/>
            <w:vAlign w:val="center"/>
          </w:tcPr>
          <w:p w14:paraId="1903AE09">
            <w:pPr>
              <w:widowControl/>
              <w:jc w:val="center"/>
              <w:rPr>
                <w:rFonts w:hint="eastAsia" w:ascii="宋体" w:hAnsi="宋体" w:cs="宋体"/>
                <w:color w:val="000000"/>
                <w:kern w:val="0"/>
                <w:sz w:val="22"/>
              </w:rPr>
            </w:pPr>
            <w:r>
              <w:rPr>
                <w:rFonts w:hint="eastAsia" w:ascii="宋体" w:hAnsi="宋体" w:cs="宋体"/>
                <w:color w:val="000000"/>
                <w:kern w:val="0"/>
                <w:sz w:val="22"/>
              </w:rPr>
              <w:t>千兆交换机（服务器用）</w:t>
            </w:r>
          </w:p>
        </w:tc>
        <w:tc>
          <w:tcPr>
            <w:tcW w:w="945" w:type="dxa"/>
            <w:shd w:val="clear" w:color="auto" w:fill="auto"/>
            <w:noWrap/>
            <w:vAlign w:val="center"/>
          </w:tcPr>
          <w:p w14:paraId="3D3852A1">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5BA1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4A18A8A9">
            <w:pPr>
              <w:widowControl/>
              <w:jc w:val="center"/>
              <w:rPr>
                <w:rFonts w:hint="eastAsia" w:ascii="宋体" w:hAnsi="宋体" w:cs="宋体"/>
                <w:color w:val="000000"/>
                <w:kern w:val="0"/>
                <w:sz w:val="22"/>
              </w:rPr>
            </w:pPr>
            <w:r>
              <w:rPr>
                <w:rFonts w:hint="eastAsia" w:ascii="宋体" w:hAnsi="宋体" w:cs="宋体"/>
                <w:color w:val="000000"/>
                <w:kern w:val="0"/>
                <w:sz w:val="22"/>
              </w:rPr>
              <w:t>8</w:t>
            </w:r>
          </w:p>
        </w:tc>
        <w:tc>
          <w:tcPr>
            <w:tcW w:w="1420" w:type="dxa"/>
            <w:shd w:val="clear" w:color="auto" w:fill="auto"/>
            <w:noWrap/>
            <w:vAlign w:val="center"/>
          </w:tcPr>
          <w:p w14:paraId="2F0B2C52">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5AAFFFDB">
            <w:pPr>
              <w:widowControl/>
              <w:jc w:val="center"/>
              <w:rPr>
                <w:rFonts w:hint="eastAsia" w:ascii="宋体" w:hAnsi="宋体" w:cs="宋体"/>
                <w:color w:val="000000"/>
                <w:kern w:val="0"/>
                <w:sz w:val="22"/>
              </w:rPr>
            </w:pPr>
            <w:r>
              <w:rPr>
                <w:rFonts w:hint="eastAsia" w:ascii="宋体" w:hAnsi="宋体" w:cs="宋体"/>
                <w:color w:val="000000"/>
                <w:kern w:val="0"/>
                <w:sz w:val="22"/>
              </w:rPr>
              <w:t>广域网区</w:t>
            </w:r>
          </w:p>
        </w:tc>
        <w:tc>
          <w:tcPr>
            <w:tcW w:w="3320" w:type="dxa"/>
            <w:shd w:val="clear" w:color="auto" w:fill="auto"/>
            <w:noWrap/>
            <w:vAlign w:val="center"/>
          </w:tcPr>
          <w:p w14:paraId="2CF76BFF">
            <w:pPr>
              <w:widowControl/>
              <w:jc w:val="center"/>
              <w:rPr>
                <w:rFonts w:hint="eastAsia" w:ascii="宋体" w:hAnsi="宋体" w:cs="宋体"/>
                <w:color w:val="000000"/>
                <w:kern w:val="0"/>
                <w:sz w:val="22"/>
              </w:rPr>
            </w:pPr>
            <w:r>
              <w:rPr>
                <w:rFonts w:hint="eastAsia" w:ascii="宋体" w:hAnsi="宋体" w:cs="宋体"/>
                <w:color w:val="000000"/>
                <w:kern w:val="0"/>
                <w:sz w:val="22"/>
              </w:rPr>
              <w:t>路由器（广域网）</w:t>
            </w:r>
          </w:p>
        </w:tc>
        <w:tc>
          <w:tcPr>
            <w:tcW w:w="945" w:type="dxa"/>
            <w:shd w:val="clear" w:color="auto" w:fill="auto"/>
            <w:noWrap/>
            <w:vAlign w:val="center"/>
          </w:tcPr>
          <w:p w14:paraId="2AF6DDA5">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1285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691333AF">
            <w:pPr>
              <w:widowControl/>
              <w:jc w:val="center"/>
              <w:rPr>
                <w:rFonts w:hint="eastAsia" w:ascii="宋体" w:hAnsi="宋体" w:cs="宋体"/>
                <w:color w:val="000000"/>
                <w:kern w:val="0"/>
                <w:sz w:val="22"/>
              </w:rPr>
            </w:pPr>
            <w:r>
              <w:rPr>
                <w:rFonts w:hint="eastAsia" w:ascii="宋体" w:hAnsi="宋体" w:cs="宋体"/>
                <w:color w:val="000000"/>
                <w:kern w:val="0"/>
                <w:sz w:val="22"/>
              </w:rPr>
              <w:t>9</w:t>
            </w:r>
          </w:p>
        </w:tc>
        <w:tc>
          <w:tcPr>
            <w:tcW w:w="1420" w:type="dxa"/>
            <w:shd w:val="clear" w:color="auto" w:fill="auto"/>
            <w:noWrap/>
            <w:vAlign w:val="center"/>
          </w:tcPr>
          <w:p w14:paraId="20B2A8BA">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00FFAD7C">
            <w:pPr>
              <w:widowControl/>
              <w:jc w:val="center"/>
              <w:rPr>
                <w:rFonts w:hint="eastAsia" w:ascii="宋体" w:hAnsi="宋体" w:cs="宋体"/>
                <w:color w:val="000000"/>
                <w:kern w:val="0"/>
                <w:sz w:val="22"/>
              </w:rPr>
            </w:pPr>
            <w:r>
              <w:rPr>
                <w:rFonts w:hint="eastAsia" w:ascii="宋体" w:hAnsi="宋体" w:cs="宋体"/>
                <w:color w:val="000000"/>
                <w:kern w:val="0"/>
                <w:sz w:val="22"/>
              </w:rPr>
              <w:t>广域网区</w:t>
            </w:r>
          </w:p>
        </w:tc>
        <w:tc>
          <w:tcPr>
            <w:tcW w:w="3320" w:type="dxa"/>
            <w:shd w:val="clear" w:color="auto" w:fill="auto"/>
            <w:noWrap/>
            <w:vAlign w:val="center"/>
          </w:tcPr>
          <w:p w14:paraId="6BAF0D37">
            <w:pPr>
              <w:widowControl/>
              <w:jc w:val="center"/>
              <w:rPr>
                <w:rFonts w:hint="eastAsia" w:ascii="宋体" w:hAnsi="宋体" w:cs="宋体"/>
                <w:color w:val="000000"/>
                <w:kern w:val="0"/>
                <w:sz w:val="22"/>
              </w:rPr>
            </w:pPr>
            <w:r>
              <w:rPr>
                <w:rFonts w:hint="eastAsia" w:ascii="宋体" w:hAnsi="宋体" w:cs="宋体"/>
                <w:color w:val="000000"/>
                <w:kern w:val="0"/>
                <w:sz w:val="22"/>
              </w:rPr>
              <w:t>防火墙（万兆内墙）</w:t>
            </w:r>
          </w:p>
        </w:tc>
        <w:tc>
          <w:tcPr>
            <w:tcW w:w="945" w:type="dxa"/>
            <w:shd w:val="clear" w:color="auto" w:fill="auto"/>
            <w:noWrap/>
            <w:vAlign w:val="center"/>
          </w:tcPr>
          <w:p w14:paraId="359AE667">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0846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30303839">
            <w:pPr>
              <w:widowControl/>
              <w:jc w:val="center"/>
              <w:rPr>
                <w:rFonts w:hint="eastAsia" w:ascii="宋体" w:hAnsi="宋体" w:cs="宋体"/>
                <w:color w:val="000000"/>
                <w:kern w:val="0"/>
                <w:sz w:val="22"/>
              </w:rPr>
            </w:pPr>
            <w:r>
              <w:rPr>
                <w:rFonts w:hint="eastAsia" w:ascii="宋体" w:hAnsi="宋体" w:cs="宋体"/>
                <w:color w:val="000000"/>
                <w:kern w:val="0"/>
                <w:sz w:val="22"/>
              </w:rPr>
              <w:t>10</w:t>
            </w:r>
          </w:p>
        </w:tc>
        <w:tc>
          <w:tcPr>
            <w:tcW w:w="1420" w:type="dxa"/>
            <w:shd w:val="clear" w:color="auto" w:fill="auto"/>
            <w:noWrap/>
            <w:vAlign w:val="center"/>
          </w:tcPr>
          <w:p w14:paraId="44E9B727">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552421D7">
            <w:pPr>
              <w:widowControl/>
              <w:jc w:val="center"/>
              <w:rPr>
                <w:rFonts w:hint="eastAsia" w:ascii="宋体" w:hAnsi="宋体" w:cs="宋体"/>
                <w:color w:val="000000"/>
                <w:kern w:val="0"/>
                <w:sz w:val="22"/>
              </w:rPr>
            </w:pPr>
            <w:r>
              <w:rPr>
                <w:rFonts w:hint="eastAsia" w:ascii="宋体" w:hAnsi="宋体" w:cs="宋体"/>
                <w:color w:val="000000"/>
                <w:kern w:val="0"/>
                <w:sz w:val="22"/>
              </w:rPr>
              <w:t>网管区</w:t>
            </w:r>
          </w:p>
        </w:tc>
        <w:tc>
          <w:tcPr>
            <w:tcW w:w="3320" w:type="dxa"/>
            <w:shd w:val="clear" w:color="auto" w:fill="auto"/>
            <w:noWrap/>
            <w:vAlign w:val="center"/>
          </w:tcPr>
          <w:p w14:paraId="66332AAA">
            <w:pPr>
              <w:widowControl/>
              <w:jc w:val="center"/>
              <w:rPr>
                <w:rFonts w:hint="eastAsia" w:ascii="宋体" w:hAnsi="宋体" w:cs="宋体"/>
                <w:color w:val="000000"/>
                <w:kern w:val="0"/>
                <w:sz w:val="22"/>
              </w:rPr>
            </w:pPr>
            <w:r>
              <w:rPr>
                <w:rFonts w:hint="eastAsia" w:ascii="宋体" w:hAnsi="宋体" w:cs="宋体"/>
                <w:color w:val="000000"/>
                <w:kern w:val="0"/>
                <w:sz w:val="22"/>
              </w:rPr>
              <w:t>万兆交换机</w:t>
            </w:r>
          </w:p>
        </w:tc>
        <w:tc>
          <w:tcPr>
            <w:tcW w:w="945" w:type="dxa"/>
            <w:shd w:val="clear" w:color="auto" w:fill="auto"/>
            <w:noWrap/>
            <w:vAlign w:val="center"/>
          </w:tcPr>
          <w:p w14:paraId="53F8BBBC">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7F29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269B815A">
            <w:pPr>
              <w:widowControl/>
              <w:jc w:val="center"/>
              <w:rPr>
                <w:rFonts w:hint="eastAsia" w:ascii="宋体" w:hAnsi="宋体" w:cs="宋体"/>
                <w:color w:val="000000"/>
                <w:kern w:val="0"/>
                <w:sz w:val="22"/>
              </w:rPr>
            </w:pPr>
            <w:r>
              <w:rPr>
                <w:rFonts w:hint="eastAsia" w:ascii="宋体" w:hAnsi="宋体" w:cs="宋体"/>
                <w:color w:val="000000"/>
                <w:kern w:val="0"/>
                <w:sz w:val="22"/>
              </w:rPr>
              <w:t>11</w:t>
            </w:r>
          </w:p>
        </w:tc>
        <w:tc>
          <w:tcPr>
            <w:tcW w:w="1420" w:type="dxa"/>
            <w:shd w:val="clear" w:color="auto" w:fill="auto"/>
            <w:noWrap/>
            <w:vAlign w:val="center"/>
          </w:tcPr>
          <w:p w14:paraId="36BE26CC">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37E3366D">
            <w:pPr>
              <w:widowControl/>
              <w:jc w:val="center"/>
              <w:rPr>
                <w:rFonts w:hint="eastAsia" w:ascii="宋体" w:hAnsi="宋体" w:cs="宋体"/>
                <w:color w:val="000000"/>
                <w:kern w:val="0"/>
                <w:sz w:val="22"/>
              </w:rPr>
            </w:pPr>
            <w:r>
              <w:rPr>
                <w:rFonts w:hint="eastAsia" w:ascii="宋体" w:hAnsi="宋体" w:cs="宋体"/>
                <w:color w:val="000000"/>
                <w:kern w:val="0"/>
                <w:sz w:val="22"/>
              </w:rPr>
              <w:t>网管区</w:t>
            </w:r>
          </w:p>
        </w:tc>
        <w:tc>
          <w:tcPr>
            <w:tcW w:w="3320" w:type="dxa"/>
            <w:shd w:val="clear" w:color="auto" w:fill="auto"/>
            <w:noWrap/>
            <w:vAlign w:val="center"/>
          </w:tcPr>
          <w:p w14:paraId="22ABD708">
            <w:pPr>
              <w:widowControl/>
              <w:jc w:val="center"/>
              <w:rPr>
                <w:rFonts w:hint="eastAsia" w:ascii="宋体" w:hAnsi="宋体" w:cs="宋体"/>
                <w:color w:val="000000"/>
                <w:kern w:val="0"/>
                <w:sz w:val="22"/>
              </w:rPr>
            </w:pPr>
            <w:r>
              <w:rPr>
                <w:rFonts w:hint="eastAsia" w:ascii="宋体" w:hAnsi="宋体" w:cs="宋体"/>
                <w:color w:val="000000"/>
                <w:kern w:val="0"/>
                <w:sz w:val="22"/>
              </w:rPr>
              <w:t>千兆交换机（服务器用）</w:t>
            </w:r>
          </w:p>
        </w:tc>
        <w:tc>
          <w:tcPr>
            <w:tcW w:w="945" w:type="dxa"/>
            <w:shd w:val="clear" w:color="auto" w:fill="auto"/>
            <w:noWrap/>
            <w:vAlign w:val="center"/>
          </w:tcPr>
          <w:p w14:paraId="356502CE">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5F1C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757FD8BD">
            <w:pPr>
              <w:widowControl/>
              <w:jc w:val="center"/>
              <w:rPr>
                <w:rFonts w:hint="eastAsia" w:ascii="宋体" w:hAnsi="宋体" w:cs="宋体"/>
                <w:color w:val="000000"/>
                <w:kern w:val="0"/>
                <w:sz w:val="22"/>
              </w:rPr>
            </w:pPr>
            <w:r>
              <w:rPr>
                <w:rFonts w:hint="eastAsia" w:ascii="宋体" w:hAnsi="宋体" w:cs="宋体"/>
                <w:color w:val="000000"/>
                <w:kern w:val="0"/>
                <w:sz w:val="22"/>
              </w:rPr>
              <w:t>12</w:t>
            </w:r>
          </w:p>
        </w:tc>
        <w:tc>
          <w:tcPr>
            <w:tcW w:w="1420" w:type="dxa"/>
            <w:shd w:val="clear" w:color="auto" w:fill="auto"/>
            <w:noWrap/>
            <w:vAlign w:val="center"/>
          </w:tcPr>
          <w:p w14:paraId="44AAC65E">
            <w:pPr>
              <w:widowControl/>
              <w:jc w:val="center"/>
              <w:rPr>
                <w:rFonts w:hint="eastAsia" w:ascii="宋体" w:hAnsi="宋体" w:cs="宋体"/>
                <w:color w:val="000000"/>
                <w:kern w:val="0"/>
                <w:sz w:val="22"/>
              </w:rPr>
            </w:pPr>
            <w:r>
              <w:rPr>
                <w:rFonts w:hint="eastAsia" w:ascii="宋体" w:hAnsi="宋体" w:cs="宋体"/>
                <w:color w:val="000000"/>
                <w:kern w:val="0"/>
                <w:sz w:val="22"/>
              </w:rPr>
              <w:t>深圳IDC</w:t>
            </w:r>
          </w:p>
        </w:tc>
        <w:tc>
          <w:tcPr>
            <w:tcW w:w="1420" w:type="dxa"/>
            <w:shd w:val="clear" w:color="auto" w:fill="auto"/>
            <w:noWrap/>
            <w:vAlign w:val="center"/>
          </w:tcPr>
          <w:p w14:paraId="6688D9CA">
            <w:pPr>
              <w:widowControl/>
              <w:jc w:val="center"/>
              <w:rPr>
                <w:rFonts w:hint="eastAsia" w:ascii="宋体" w:hAnsi="宋体" w:cs="宋体"/>
                <w:color w:val="000000"/>
                <w:kern w:val="0"/>
                <w:sz w:val="22"/>
              </w:rPr>
            </w:pPr>
            <w:r>
              <w:rPr>
                <w:rFonts w:hint="eastAsia" w:ascii="宋体" w:hAnsi="宋体" w:cs="宋体"/>
                <w:color w:val="000000"/>
                <w:kern w:val="0"/>
                <w:sz w:val="22"/>
              </w:rPr>
              <w:t>网管区</w:t>
            </w:r>
          </w:p>
        </w:tc>
        <w:tc>
          <w:tcPr>
            <w:tcW w:w="3320" w:type="dxa"/>
            <w:shd w:val="clear" w:color="auto" w:fill="auto"/>
            <w:noWrap/>
            <w:vAlign w:val="center"/>
          </w:tcPr>
          <w:p w14:paraId="2B180BD3">
            <w:pPr>
              <w:widowControl/>
              <w:jc w:val="center"/>
              <w:rPr>
                <w:rFonts w:hint="eastAsia" w:ascii="宋体" w:hAnsi="宋体" w:cs="宋体"/>
                <w:color w:val="000000"/>
                <w:kern w:val="0"/>
                <w:sz w:val="22"/>
              </w:rPr>
            </w:pPr>
            <w:r>
              <w:rPr>
                <w:rFonts w:hint="eastAsia" w:ascii="宋体" w:hAnsi="宋体" w:cs="宋体"/>
                <w:color w:val="000000"/>
                <w:kern w:val="0"/>
                <w:sz w:val="22"/>
              </w:rPr>
              <w:t>千兆交换机（带外网管）</w:t>
            </w:r>
          </w:p>
        </w:tc>
        <w:tc>
          <w:tcPr>
            <w:tcW w:w="945" w:type="dxa"/>
            <w:shd w:val="clear" w:color="auto" w:fill="auto"/>
            <w:noWrap/>
            <w:vAlign w:val="center"/>
          </w:tcPr>
          <w:p w14:paraId="548A77A4">
            <w:pPr>
              <w:widowControl/>
              <w:jc w:val="center"/>
              <w:rPr>
                <w:rFonts w:hint="eastAsia" w:ascii="宋体" w:hAnsi="宋体" w:cs="宋体"/>
                <w:color w:val="000000"/>
                <w:kern w:val="0"/>
                <w:sz w:val="22"/>
              </w:rPr>
            </w:pPr>
            <w:r>
              <w:rPr>
                <w:rFonts w:hint="eastAsia" w:ascii="宋体" w:hAnsi="宋体" w:cs="宋体"/>
                <w:color w:val="000000"/>
                <w:kern w:val="0"/>
                <w:sz w:val="22"/>
              </w:rPr>
              <w:t>18</w:t>
            </w:r>
          </w:p>
        </w:tc>
      </w:tr>
      <w:tr w14:paraId="074B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6A533895">
            <w:pPr>
              <w:widowControl/>
              <w:jc w:val="center"/>
              <w:rPr>
                <w:rFonts w:hint="eastAsia" w:ascii="宋体" w:hAnsi="宋体" w:cs="宋体"/>
                <w:color w:val="000000"/>
                <w:kern w:val="0"/>
                <w:sz w:val="22"/>
              </w:rPr>
            </w:pPr>
            <w:r>
              <w:rPr>
                <w:rFonts w:hint="eastAsia" w:ascii="宋体" w:hAnsi="宋体" w:cs="宋体"/>
                <w:color w:val="000000"/>
                <w:kern w:val="0"/>
                <w:sz w:val="22"/>
              </w:rPr>
              <w:t>14</w:t>
            </w:r>
          </w:p>
        </w:tc>
        <w:tc>
          <w:tcPr>
            <w:tcW w:w="1420" w:type="dxa"/>
            <w:shd w:val="clear" w:color="auto" w:fill="auto"/>
            <w:noWrap/>
            <w:vAlign w:val="center"/>
          </w:tcPr>
          <w:p w14:paraId="15AEA178">
            <w:pPr>
              <w:widowControl/>
              <w:jc w:val="center"/>
              <w:rPr>
                <w:rFonts w:hint="eastAsia" w:ascii="宋体" w:hAnsi="宋体" w:cs="宋体"/>
                <w:color w:val="000000"/>
                <w:kern w:val="0"/>
                <w:sz w:val="22"/>
              </w:rPr>
            </w:pPr>
            <w:r>
              <w:rPr>
                <w:rFonts w:hint="eastAsia" w:ascii="宋体" w:hAnsi="宋体" w:cs="宋体"/>
                <w:color w:val="000000"/>
                <w:kern w:val="0"/>
                <w:sz w:val="22"/>
              </w:rPr>
              <w:t>贵阳IDC</w:t>
            </w:r>
          </w:p>
        </w:tc>
        <w:tc>
          <w:tcPr>
            <w:tcW w:w="1420" w:type="dxa"/>
            <w:shd w:val="clear" w:color="auto" w:fill="auto"/>
            <w:noWrap/>
            <w:vAlign w:val="center"/>
          </w:tcPr>
          <w:p w14:paraId="67753D4D">
            <w:pPr>
              <w:widowControl/>
              <w:jc w:val="center"/>
              <w:rPr>
                <w:rFonts w:hint="eastAsia" w:ascii="宋体" w:hAnsi="宋体" w:cs="宋体"/>
                <w:color w:val="000000"/>
                <w:kern w:val="0"/>
                <w:sz w:val="22"/>
              </w:rPr>
            </w:pPr>
            <w:r>
              <w:rPr>
                <w:rFonts w:hint="eastAsia" w:ascii="宋体" w:hAnsi="宋体" w:cs="宋体"/>
                <w:color w:val="000000"/>
                <w:kern w:val="0"/>
                <w:sz w:val="22"/>
              </w:rPr>
              <w:t>报盘区</w:t>
            </w:r>
          </w:p>
        </w:tc>
        <w:tc>
          <w:tcPr>
            <w:tcW w:w="3320" w:type="dxa"/>
            <w:shd w:val="clear" w:color="auto" w:fill="auto"/>
            <w:noWrap/>
            <w:vAlign w:val="center"/>
          </w:tcPr>
          <w:p w14:paraId="17BDA278">
            <w:pPr>
              <w:widowControl/>
              <w:jc w:val="center"/>
              <w:rPr>
                <w:rFonts w:hint="eastAsia" w:ascii="宋体" w:hAnsi="宋体" w:cs="宋体"/>
                <w:color w:val="000000"/>
                <w:kern w:val="0"/>
                <w:sz w:val="22"/>
              </w:rPr>
            </w:pPr>
            <w:r>
              <w:rPr>
                <w:rFonts w:hint="eastAsia" w:ascii="宋体" w:hAnsi="宋体" w:cs="宋体"/>
                <w:color w:val="000000"/>
                <w:kern w:val="0"/>
                <w:sz w:val="22"/>
              </w:rPr>
              <w:t>路由器（报盘外联）</w:t>
            </w:r>
          </w:p>
        </w:tc>
        <w:tc>
          <w:tcPr>
            <w:tcW w:w="945" w:type="dxa"/>
            <w:shd w:val="clear" w:color="auto" w:fill="auto"/>
            <w:noWrap/>
            <w:vAlign w:val="center"/>
          </w:tcPr>
          <w:p w14:paraId="610E93DC">
            <w:pPr>
              <w:widowControl/>
              <w:jc w:val="center"/>
              <w:rPr>
                <w:rFonts w:hint="eastAsia" w:ascii="宋体" w:hAnsi="宋体" w:cs="宋体"/>
                <w:color w:val="000000"/>
                <w:kern w:val="0"/>
                <w:sz w:val="22"/>
              </w:rPr>
            </w:pPr>
            <w:r>
              <w:rPr>
                <w:rFonts w:hint="eastAsia" w:ascii="宋体" w:hAnsi="宋体" w:cs="宋体"/>
                <w:color w:val="000000"/>
                <w:kern w:val="0"/>
                <w:sz w:val="22"/>
              </w:rPr>
              <w:t>3</w:t>
            </w:r>
          </w:p>
        </w:tc>
      </w:tr>
      <w:tr w14:paraId="703F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6B7A0643">
            <w:pPr>
              <w:widowControl/>
              <w:jc w:val="center"/>
              <w:rPr>
                <w:rFonts w:hint="eastAsia" w:ascii="宋体" w:hAnsi="宋体" w:cs="宋体"/>
                <w:color w:val="000000"/>
                <w:kern w:val="0"/>
                <w:sz w:val="22"/>
              </w:rPr>
            </w:pPr>
            <w:r>
              <w:rPr>
                <w:rFonts w:hint="eastAsia" w:ascii="宋体" w:hAnsi="宋体" w:cs="宋体"/>
                <w:color w:val="000000"/>
                <w:kern w:val="0"/>
                <w:sz w:val="22"/>
              </w:rPr>
              <w:t>15</w:t>
            </w:r>
          </w:p>
        </w:tc>
        <w:tc>
          <w:tcPr>
            <w:tcW w:w="1420" w:type="dxa"/>
            <w:shd w:val="clear" w:color="auto" w:fill="auto"/>
            <w:noWrap/>
            <w:vAlign w:val="center"/>
          </w:tcPr>
          <w:p w14:paraId="434F1626">
            <w:pPr>
              <w:widowControl/>
              <w:jc w:val="center"/>
              <w:rPr>
                <w:rFonts w:hint="eastAsia" w:ascii="宋体" w:hAnsi="宋体" w:cs="宋体"/>
                <w:color w:val="000000"/>
                <w:kern w:val="0"/>
                <w:sz w:val="22"/>
              </w:rPr>
            </w:pPr>
            <w:r>
              <w:rPr>
                <w:rFonts w:hint="eastAsia" w:ascii="宋体" w:hAnsi="宋体" w:cs="宋体"/>
                <w:color w:val="000000"/>
                <w:kern w:val="0"/>
                <w:sz w:val="22"/>
              </w:rPr>
              <w:t>贵阳IDC</w:t>
            </w:r>
          </w:p>
        </w:tc>
        <w:tc>
          <w:tcPr>
            <w:tcW w:w="1420" w:type="dxa"/>
            <w:shd w:val="clear" w:color="auto" w:fill="auto"/>
            <w:noWrap/>
            <w:vAlign w:val="center"/>
          </w:tcPr>
          <w:p w14:paraId="4C119987">
            <w:pPr>
              <w:widowControl/>
              <w:jc w:val="center"/>
              <w:rPr>
                <w:rFonts w:hint="eastAsia" w:ascii="宋体" w:hAnsi="宋体" w:cs="宋体"/>
                <w:color w:val="000000"/>
                <w:kern w:val="0"/>
                <w:sz w:val="22"/>
              </w:rPr>
            </w:pPr>
            <w:r>
              <w:rPr>
                <w:rFonts w:hint="eastAsia" w:ascii="宋体" w:hAnsi="宋体" w:cs="宋体"/>
                <w:color w:val="000000"/>
                <w:kern w:val="0"/>
                <w:sz w:val="22"/>
              </w:rPr>
              <w:t>外联区</w:t>
            </w:r>
          </w:p>
        </w:tc>
        <w:tc>
          <w:tcPr>
            <w:tcW w:w="3320" w:type="dxa"/>
            <w:shd w:val="clear" w:color="auto" w:fill="auto"/>
            <w:noWrap/>
            <w:vAlign w:val="center"/>
          </w:tcPr>
          <w:p w14:paraId="5A3BB532">
            <w:pPr>
              <w:widowControl/>
              <w:jc w:val="center"/>
              <w:rPr>
                <w:rFonts w:hint="eastAsia" w:ascii="宋体" w:hAnsi="宋体" w:cs="宋体"/>
                <w:color w:val="000000"/>
                <w:kern w:val="0"/>
                <w:sz w:val="22"/>
              </w:rPr>
            </w:pPr>
            <w:r>
              <w:rPr>
                <w:rFonts w:hint="eastAsia" w:ascii="宋体" w:hAnsi="宋体" w:cs="宋体"/>
                <w:color w:val="000000"/>
                <w:kern w:val="0"/>
                <w:sz w:val="22"/>
              </w:rPr>
              <w:t>路由器（报盘外联）</w:t>
            </w:r>
          </w:p>
        </w:tc>
        <w:tc>
          <w:tcPr>
            <w:tcW w:w="945" w:type="dxa"/>
            <w:shd w:val="clear" w:color="auto" w:fill="auto"/>
            <w:noWrap/>
            <w:vAlign w:val="center"/>
          </w:tcPr>
          <w:p w14:paraId="3FA3213F">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57E5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10" w:type="dxa"/>
            <w:shd w:val="clear" w:color="auto" w:fill="auto"/>
            <w:noWrap/>
            <w:vAlign w:val="center"/>
          </w:tcPr>
          <w:p w14:paraId="45596BA2">
            <w:pPr>
              <w:widowControl/>
              <w:jc w:val="center"/>
              <w:rPr>
                <w:rFonts w:hint="eastAsia" w:ascii="宋体" w:hAnsi="宋体" w:cs="宋体"/>
                <w:color w:val="000000"/>
                <w:kern w:val="0"/>
                <w:sz w:val="22"/>
              </w:rPr>
            </w:pPr>
            <w:r>
              <w:rPr>
                <w:rFonts w:hint="eastAsia" w:ascii="宋体" w:hAnsi="宋体" w:cs="宋体"/>
                <w:color w:val="000000"/>
                <w:kern w:val="0"/>
                <w:sz w:val="22"/>
              </w:rPr>
              <w:t>16</w:t>
            </w:r>
          </w:p>
        </w:tc>
        <w:tc>
          <w:tcPr>
            <w:tcW w:w="1420" w:type="dxa"/>
            <w:shd w:val="clear" w:color="auto" w:fill="auto"/>
            <w:noWrap/>
            <w:vAlign w:val="center"/>
          </w:tcPr>
          <w:p w14:paraId="1282F701">
            <w:pPr>
              <w:widowControl/>
              <w:jc w:val="center"/>
              <w:rPr>
                <w:rFonts w:hint="eastAsia" w:ascii="宋体" w:hAnsi="宋体" w:cs="宋体"/>
                <w:color w:val="000000"/>
                <w:kern w:val="0"/>
                <w:sz w:val="22"/>
              </w:rPr>
            </w:pPr>
            <w:r>
              <w:rPr>
                <w:rFonts w:hint="eastAsia" w:ascii="宋体" w:hAnsi="宋体" w:cs="宋体"/>
                <w:color w:val="000000"/>
                <w:kern w:val="0"/>
                <w:sz w:val="22"/>
              </w:rPr>
              <w:t>贵阳IDC</w:t>
            </w:r>
          </w:p>
        </w:tc>
        <w:tc>
          <w:tcPr>
            <w:tcW w:w="1420" w:type="dxa"/>
            <w:shd w:val="clear" w:color="auto" w:fill="auto"/>
            <w:noWrap/>
            <w:vAlign w:val="center"/>
          </w:tcPr>
          <w:p w14:paraId="454A89F9">
            <w:pPr>
              <w:widowControl/>
              <w:jc w:val="center"/>
              <w:rPr>
                <w:rFonts w:hint="eastAsia" w:ascii="宋体" w:hAnsi="宋体" w:cs="宋体"/>
                <w:color w:val="000000"/>
                <w:kern w:val="0"/>
                <w:sz w:val="22"/>
              </w:rPr>
            </w:pPr>
            <w:r>
              <w:rPr>
                <w:rFonts w:hint="eastAsia" w:ascii="宋体" w:hAnsi="宋体" w:cs="宋体"/>
                <w:color w:val="000000"/>
                <w:kern w:val="0"/>
                <w:sz w:val="22"/>
              </w:rPr>
              <w:t>广域网区</w:t>
            </w:r>
          </w:p>
        </w:tc>
        <w:tc>
          <w:tcPr>
            <w:tcW w:w="3320" w:type="dxa"/>
            <w:shd w:val="clear" w:color="auto" w:fill="auto"/>
            <w:noWrap/>
            <w:vAlign w:val="center"/>
          </w:tcPr>
          <w:p w14:paraId="579C0087">
            <w:pPr>
              <w:widowControl/>
              <w:jc w:val="center"/>
              <w:rPr>
                <w:rFonts w:hint="eastAsia" w:ascii="宋体" w:hAnsi="宋体" w:cs="宋体"/>
                <w:color w:val="000000"/>
                <w:kern w:val="0"/>
                <w:sz w:val="22"/>
              </w:rPr>
            </w:pPr>
            <w:r>
              <w:rPr>
                <w:rFonts w:hint="eastAsia" w:ascii="宋体" w:hAnsi="宋体" w:cs="宋体"/>
                <w:color w:val="000000"/>
                <w:kern w:val="0"/>
                <w:sz w:val="22"/>
              </w:rPr>
              <w:t>路由器（广域网）</w:t>
            </w:r>
          </w:p>
        </w:tc>
        <w:tc>
          <w:tcPr>
            <w:tcW w:w="945" w:type="dxa"/>
            <w:shd w:val="clear" w:color="auto" w:fill="auto"/>
            <w:noWrap/>
            <w:vAlign w:val="center"/>
          </w:tcPr>
          <w:p w14:paraId="16CD2A8A">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61E9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10" w:type="dxa"/>
            <w:shd w:val="clear" w:color="auto" w:fill="auto"/>
            <w:noWrap/>
            <w:vAlign w:val="center"/>
          </w:tcPr>
          <w:p w14:paraId="216056B9">
            <w:pPr>
              <w:widowControl/>
              <w:jc w:val="center"/>
              <w:rPr>
                <w:rFonts w:hint="eastAsia" w:ascii="宋体" w:hAnsi="宋体" w:cs="宋体"/>
                <w:color w:val="000000"/>
                <w:kern w:val="0"/>
                <w:sz w:val="22"/>
              </w:rPr>
            </w:pPr>
            <w:r>
              <w:rPr>
                <w:rFonts w:hint="eastAsia" w:ascii="宋体" w:hAnsi="宋体" w:cs="宋体"/>
                <w:color w:val="000000"/>
                <w:kern w:val="0"/>
                <w:sz w:val="22"/>
              </w:rPr>
              <w:t>17</w:t>
            </w:r>
          </w:p>
        </w:tc>
        <w:tc>
          <w:tcPr>
            <w:tcW w:w="1420" w:type="dxa"/>
            <w:shd w:val="clear" w:color="auto" w:fill="auto"/>
            <w:noWrap/>
            <w:vAlign w:val="center"/>
          </w:tcPr>
          <w:p w14:paraId="07EBBE9E">
            <w:pPr>
              <w:widowControl/>
              <w:jc w:val="center"/>
              <w:rPr>
                <w:rFonts w:hint="eastAsia" w:ascii="宋体" w:hAnsi="宋体" w:cs="宋体"/>
                <w:color w:val="000000"/>
                <w:kern w:val="0"/>
                <w:sz w:val="22"/>
              </w:rPr>
            </w:pPr>
            <w:r>
              <w:rPr>
                <w:rFonts w:hint="eastAsia" w:ascii="宋体" w:hAnsi="宋体" w:cs="宋体"/>
                <w:color w:val="000000"/>
                <w:kern w:val="0"/>
                <w:sz w:val="22"/>
              </w:rPr>
              <w:t>深圳</w:t>
            </w:r>
            <w:r>
              <w:rPr>
                <w:rFonts w:hint="eastAsia" w:ascii="宋体" w:hAnsi="宋体" w:cs="宋体"/>
                <w:color w:val="000000"/>
                <w:kern w:val="0"/>
                <w:sz w:val="22"/>
              </w:rPr>
              <w:br w:type="textWrapping"/>
            </w:r>
            <w:r>
              <w:rPr>
                <w:rFonts w:hint="eastAsia" w:ascii="宋体" w:hAnsi="宋体" w:cs="宋体"/>
                <w:color w:val="000000"/>
                <w:kern w:val="0"/>
                <w:sz w:val="22"/>
              </w:rPr>
              <w:t>储能大厦</w:t>
            </w:r>
          </w:p>
        </w:tc>
        <w:tc>
          <w:tcPr>
            <w:tcW w:w="1420" w:type="dxa"/>
            <w:shd w:val="clear" w:color="auto" w:fill="auto"/>
            <w:noWrap/>
            <w:vAlign w:val="center"/>
          </w:tcPr>
          <w:p w14:paraId="79FC6AD8">
            <w:pPr>
              <w:widowControl/>
              <w:jc w:val="center"/>
              <w:rPr>
                <w:rFonts w:hint="eastAsia" w:ascii="宋体" w:hAnsi="宋体" w:cs="宋体"/>
                <w:color w:val="000000"/>
                <w:kern w:val="0"/>
                <w:sz w:val="22"/>
              </w:rPr>
            </w:pPr>
            <w:r>
              <w:rPr>
                <w:rFonts w:hint="eastAsia" w:ascii="宋体" w:hAnsi="宋体" w:cs="宋体"/>
                <w:color w:val="000000"/>
                <w:kern w:val="0"/>
                <w:sz w:val="22"/>
              </w:rPr>
              <w:t>职场办公</w:t>
            </w:r>
          </w:p>
        </w:tc>
        <w:tc>
          <w:tcPr>
            <w:tcW w:w="3320" w:type="dxa"/>
            <w:shd w:val="clear" w:color="auto" w:fill="auto"/>
            <w:noWrap/>
            <w:vAlign w:val="center"/>
          </w:tcPr>
          <w:p w14:paraId="639BCA31">
            <w:pPr>
              <w:widowControl/>
              <w:jc w:val="center"/>
              <w:rPr>
                <w:rFonts w:hint="eastAsia" w:ascii="宋体" w:hAnsi="宋体" w:cs="宋体"/>
                <w:color w:val="000000"/>
                <w:kern w:val="0"/>
                <w:sz w:val="22"/>
              </w:rPr>
            </w:pPr>
            <w:r>
              <w:rPr>
                <w:rFonts w:hint="eastAsia" w:ascii="宋体" w:hAnsi="宋体" w:cs="宋体"/>
                <w:color w:val="000000"/>
                <w:kern w:val="0"/>
                <w:sz w:val="22"/>
              </w:rPr>
              <w:t>负载均衡（职场）</w:t>
            </w:r>
          </w:p>
        </w:tc>
        <w:tc>
          <w:tcPr>
            <w:tcW w:w="945" w:type="dxa"/>
            <w:shd w:val="clear" w:color="auto" w:fill="auto"/>
            <w:noWrap/>
            <w:vAlign w:val="center"/>
          </w:tcPr>
          <w:p w14:paraId="6AA89F07">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34E8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10" w:type="dxa"/>
            <w:shd w:val="clear" w:color="auto" w:fill="auto"/>
            <w:noWrap/>
            <w:vAlign w:val="center"/>
          </w:tcPr>
          <w:p w14:paraId="5E5B6C05">
            <w:pPr>
              <w:widowControl/>
              <w:jc w:val="center"/>
              <w:rPr>
                <w:rFonts w:hint="eastAsia" w:ascii="宋体" w:hAnsi="宋体" w:cs="宋体"/>
                <w:color w:val="000000"/>
                <w:kern w:val="0"/>
                <w:sz w:val="22"/>
              </w:rPr>
            </w:pPr>
            <w:r>
              <w:rPr>
                <w:rFonts w:hint="eastAsia" w:ascii="宋体" w:hAnsi="宋体" w:cs="宋体"/>
                <w:color w:val="000000"/>
                <w:kern w:val="0"/>
                <w:sz w:val="22"/>
              </w:rPr>
              <w:t>18</w:t>
            </w:r>
          </w:p>
        </w:tc>
        <w:tc>
          <w:tcPr>
            <w:tcW w:w="1420" w:type="dxa"/>
            <w:shd w:val="clear" w:color="auto" w:fill="auto"/>
            <w:noWrap/>
            <w:vAlign w:val="center"/>
          </w:tcPr>
          <w:p w14:paraId="744BDC9F">
            <w:pPr>
              <w:widowControl/>
              <w:jc w:val="center"/>
              <w:rPr>
                <w:rFonts w:hint="eastAsia" w:ascii="宋体" w:hAnsi="宋体" w:cs="宋体"/>
                <w:color w:val="000000"/>
                <w:kern w:val="0"/>
                <w:sz w:val="22"/>
              </w:rPr>
            </w:pPr>
            <w:r>
              <w:rPr>
                <w:rFonts w:hint="eastAsia" w:ascii="宋体" w:hAnsi="宋体" w:cs="宋体"/>
                <w:color w:val="000000"/>
                <w:kern w:val="0"/>
                <w:sz w:val="22"/>
              </w:rPr>
              <w:t>深圳</w:t>
            </w:r>
            <w:r>
              <w:rPr>
                <w:rFonts w:hint="eastAsia" w:ascii="宋体" w:hAnsi="宋体" w:cs="宋体"/>
                <w:color w:val="000000"/>
                <w:kern w:val="0"/>
                <w:sz w:val="22"/>
              </w:rPr>
              <w:br w:type="textWrapping"/>
            </w:r>
            <w:r>
              <w:rPr>
                <w:rFonts w:hint="eastAsia" w:ascii="宋体" w:hAnsi="宋体" w:cs="宋体"/>
                <w:color w:val="000000"/>
                <w:kern w:val="0"/>
                <w:sz w:val="22"/>
              </w:rPr>
              <w:t>储能大厦</w:t>
            </w:r>
          </w:p>
        </w:tc>
        <w:tc>
          <w:tcPr>
            <w:tcW w:w="1420" w:type="dxa"/>
            <w:shd w:val="clear" w:color="auto" w:fill="auto"/>
            <w:noWrap/>
            <w:vAlign w:val="center"/>
          </w:tcPr>
          <w:p w14:paraId="1D5BB3AE">
            <w:pPr>
              <w:widowControl/>
              <w:jc w:val="center"/>
              <w:rPr>
                <w:rFonts w:hint="eastAsia" w:ascii="宋体" w:hAnsi="宋体" w:cs="宋体"/>
                <w:color w:val="000000"/>
                <w:kern w:val="0"/>
                <w:sz w:val="22"/>
              </w:rPr>
            </w:pPr>
            <w:r>
              <w:rPr>
                <w:rFonts w:hint="eastAsia" w:ascii="宋体" w:hAnsi="宋体" w:cs="宋体"/>
                <w:color w:val="000000"/>
                <w:kern w:val="0"/>
                <w:sz w:val="22"/>
              </w:rPr>
              <w:t>职场办公</w:t>
            </w:r>
          </w:p>
        </w:tc>
        <w:tc>
          <w:tcPr>
            <w:tcW w:w="3320" w:type="dxa"/>
            <w:shd w:val="clear" w:color="auto" w:fill="auto"/>
            <w:noWrap/>
            <w:vAlign w:val="center"/>
          </w:tcPr>
          <w:p w14:paraId="6208CDAF">
            <w:pPr>
              <w:widowControl/>
              <w:jc w:val="center"/>
              <w:rPr>
                <w:rFonts w:hint="eastAsia" w:ascii="宋体" w:hAnsi="宋体" w:cs="宋体"/>
                <w:color w:val="000000"/>
                <w:kern w:val="0"/>
                <w:sz w:val="22"/>
              </w:rPr>
            </w:pPr>
            <w:r>
              <w:rPr>
                <w:rFonts w:hint="eastAsia" w:ascii="宋体" w:hAnsi="宋体" w:cs="宋体"/>
                <w:color w:val="000000"/>
                <w:kern w:val="0"/>
                <w:sz w:val="22"/>
              </w:rPr>
              <w:t>防火墙（职场）</w:t>
            </w:r>
          </w:p>
        </w:tc>
        <w:tc>
          <w:tcPr>
            <w:tcW w:w="945" w:type="dxa"/>
            <w:shd w:val="clear" w:color="auto" w:fill="auto"/>
            <w:noWrap/>
            <w:vAlign w:val="center"/>
          </w:tcPr>
          <w:p w14:paraId="06C7AA9D">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5550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10" w:type="dxa"/>
            <w:shd w:val="clear" w:color="auto" w:fill="auto"/>
            <w:noWrap/>
            <w:vAlign w:val="center"/>
          </w:tcPr>
          <w:p w14:paraId="691AC009">
            <w:pPr>
              <w:widowControl/>
              <w:jc w:val="center"/>
              <w:rPr>
                <w:rFonts w:hint="eastAsia" w:ascii="宋体" w:hAnsi="宋体" w:cs="宋体"/>
                <w:color w:val="000000"/>
                <w:kern w:val="0"/>
                <w:sz w:val="22"/>
              </w:rPr>
            </w:pPr>
            <w:r>
              <w:rPr>
                <w:rFonts w:hint="eastAsia" w:ascii="宋体" w:hAnsi="宋体" w:cs="宋体"/>
                <w:color w:val="000000"/>
                <w:kern w:val="0"/>
                <w:sz w:val="22"/>
              </w:rPr>
              <w:t>19</w:t>
            </w:r>
          </w:p>
        </w:tc>
        <w:tc>
          <w:tcPr>
            <w:tcW w:w="1420" w:type="dxa"/>
            <w:shd w:val="clear" w:color="auto" w:fill="auto"/>
            <w:noWrap/>
            <w:vAlign w:val="center"/>
          </w:tcPr>
          <w:p w14:paraId="42460B63">
            <w:pPr>
              <w:widowControl/>
              <w:jc w:val="center"/>
              <w:rPr>
                <w:rFonts w:hint="eastAsia" w:ascii="宋体" w:hAnsi="宋体" w:cs="宋体"/>
                <w:color w:val="000000"/>
                <w:kern w:val="0"/>
                <w:sz w:val="22"/>
              </w:rPr>
            </w:pPr>
            <w:r>
              <w:rPr>
                <w:rFonts w:hint="eastAsia" w:ascii="宋体" w:hAnsi="宋体" w:cs="宋体"/>
                <w:color w:val="000000"/>
                <w:kern w:val="0"/>
                <w:sz w:val="22"/>
              </w:rPr>
              <w:t>贵阳</w:t>
            </w:r>
            <w:r>
              <w:rPr>
                <w:rFonts w:hint="eastAsia" w:ascii="宋体" w:hAnsi="宋体" w:cs="宋体"/>
                <w:color w:val="000000"/>
                <w:kern w:val="0"/>
                <w:sz w:val="22"/>
              </w:rPr>
              <w:br w:type="textWrapping"/>
            </w:r>
            <w:r>
              <w:rPr>
                <w:rFonts w:hint="eastAsia" w:ascii="宋体" w:hAnsi="宋体" w:cs="宋体"/>
                <w:color w:val="000000"/>
                <w:kern w:val="0"/>
                <w:sz w:val="22"/>
              </w:rPr>
              <w:t>北七塔大厦</w:t>
            </w:r>
          </w:p>
        </w:tc>
        <w:tc>
          <w:tcPr>
            <w:tcW w:w="1420" w:type="dxa"/>
            <w:shd w:val="clear" w:color="auto" w:fill="auto"/>
            <w:noWrap/>
            <w:vAlign w:val="center"/>
          </w:tcPr>
          <w:p w14:paraId="142FA0F2">
            <w:pPr>
              <w:widowControl/>
              <w:jc w:val="center"/>
              <w:rPr>
                <w:rFonts w:hint="eastAsia" w:ascii="宋体" w:hAnsi="宋体" w:cs="宋体"/>
                <w:color w:val="000000"/>
                <w:kern w:val="0"/>
                <w:sz w:val="22"/>
              </w:rPr>
            </w:pPr>
            <w:r>
              <w:rPr>
                <w:rFonts w:hint="eastAsia" w:ascii="宋体" w:hAnsi="宋体" w:cs="宋体"/>
                <w:color w:val="000000"/>
                <w:kern w:val="0"/>
                <w:sz w:val="22"/>
              </w:rPr>
              <w:t>职场办公</w:t>
            </w:r>
          </w:p>
        </w:tc>
        <w:tc>
          <w:tcPr>
            <w:tcW w:w="3320" w:type="dxa"/>
            <w:shd w:val="clear" w:color="auto" w:fill="auto"/>
            <w:noWrap/>
            <w:vAlign w:val="center"/>
          </w:tcPr>
          <w:p w14:paraId="023E1E70">
            <w:pPr>
              <w:widowControl/>
              <w:jc w:val="center"/>
              <w:rPr>
                <w:rFonts w:hint="eastAsia" w:ascii="宋体" w:hAnsi="宋体" w:cs="宋体"/>
                <w:color w:val="000000"/>
                <w:kern w:val="0"/>
                <w:sz w:val="22"/>
              </w:rPr>
            </w:pPr>
            <w:r>
              <w:rPr>
                <w:rFonts w:hint="eastAsia" w:ascii="宋体" w:hAnsi="宋体" w:cs="宋体"/>
                <w:color w:val="000000"/>
                <w:kern w:val="0"/>
                <w:sz w:val="22"/>
              </w:rPr>
              <w:t>负载均衡（职场）</w:t>
            </w:r>
          </w:p>
        </w:tc>
        <w:tc>
          <w:tcPr>
            <w:tcW w:w="945" w:type="dxa"/>
            <w:shd w:val="clear" w:color="auto" w:fill="auto"/>
            <w:noWrap/>
            <w:vAlign w:val="center"/>
          </w:tcPr>
          <w:p w14:paraId="24225CD8">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3D56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10" w:type="dxa"/>
            <w:shd w:val="clear" w:color="auto" w:fill="auto"/>
            <w:noWrap/>
            <w:vAlign w:val="center"/>
          </w:tcPr>
          <w:p w14:paraId="111B5A9F">
            <w:pPr>
              <w:widowControl/>
              <w:jc w:val="center"/>
              <w:rPr>
                <w:rFonts w:hint="eastAsia" w:ascii="宋体" w:hAnsi="宋体" w:cs="宋体"/>
                <w:color w:val="000000"/>
                <w:kern w:val="0"/>
                <w:sz w:val="22"/>
              </w:rPr>
            </w:pPr>
            <w:r>
              <w:rPr>
                <w:rFonts w:hint="eastAsia" w:ascii="宋体" w:hAnsi="宋体" w:cs="宋体"/>
                <w:color w:val="000000"/>
                <w:kern w:val="0"/>
                <w:sz w:val="22"/>
              </w:rPr>
              <w:t>20</w:t>
            </w:r>
          </w:p>
        </w:tc>
        <w:tc>
          <w:tcPr>
            <w:tcW w:w="1420" w:type="dxa"/>
            <w:shd w:val="clear" w:color="auto" w:fill="auto"/>
            <w:noWrap/>
            <w:vAlign w:val="center"/>
          </w:tcPr>
          <w:p w14:paraId="61703052">
            <w:pPr>
              <w:widowControl/>
              <w:jc w:val="center"/>
              <w:rPr>
                <w:rFonts w:hint="eastAsia" w:ascii="宋体" w:hAnsi="宋体" w:cs="宋体"/>
                <w:color w:val="000000"/>
                <w:kern w:val="0"/>
                <w:sz w:val="22"/>
              </w:rPr>
            </w:pPr>
            <w:r>
              <w:rPr>
                <w:rFonts w:hint="eastAsia" w:ascii="宋体" w:hAnsi="宋体" w:cs="宋体"/>
                <w:color w:val="000000"/>
                <w:kern w:val="0"/>
                <w:sz w:val="22"/>
              </w:rPr>
              <w:t>贵阳</w:t>
            </w:r>
            <w:r>
              <w:rPr>
                <w:rFonts w:hint="eastAsia" w:ascii="宋体" w:hAnsi="宋体" w:cs="宋体"/>
                <w:color w:val="000000"/>
                <w:kern w:val="0"/>
                <w:sz w:val="22"/>
              </w:rPr>
              <w:br w:type="textWrapping"/>
            </w:r>
            <w:r>
              <w:rPr>
                <w:rFonts w:hint="eastAsia" w:ascii="宋体" w:hAnsi="宋体" w:cs="宋体"/>
                <w:color w:val="000000"/>
                <w:kern w:val="0"/>
                <w:sz w:val="22"/>
              </w:rPr>
              <w:t>北七塔大厦</w:t>
            </w:r>
          </w:p>
        </w:tc>
        <w:tc>
          <w:tcPr>
            <w:tcW w:w="1420" w:type="dxa"/>
            <w:shd w:val="clear" w:color="auto" w:fill="auto"/>
            <w:noWrap/>
            <w:vAlign w:val="center"/>
          </w:tcPr>
          <w:p w14:paraId="27FA9A39">
            <w:pPr>
              <w:widowControl/>
              <w:jc w:val="center"/>
              <w:rPr>
                <w:rFonts w:hint="eastAsia" w:ascii="宋体" w:hAnsi="宋体" w:cs="宋体"/>
                <w:color w:val="000000"/>
                <w:kern w:val="0"/>
                <w:sz w:val="22"/>
              </w:rPr>
            </w:pPr>
            <w:r>
              <w:rPr>
                <w:rFonts w:hint="eastAsia" w:ascii="宋体" w:hAnsi="宋体" w:cs="宋体"/>
                <w:color w:val="000000"/>
                <w:kern w:val="0"/>
                <w:sz w:val="22"/>
              </w:rPr>
              <w:t>职场办公</w:t>
            </w:r>
          </w:p>
        </w:tc>
        <w:tc>
          <w:tcPr>
            <w:tcW w:w="3320" w:type="dxa"/>
            <w:shd w:val="clear" w:color="auto" w:fill="auto"/>
            <w:noWrap/>
            <w:vAlign w:val="center"/>
          </w:tcPr>
          <w:p w14:paraId="53FB4DC7">
            <w:pPr>
              <w:widowControl/>
              <w:jc w:val="center"/>
              <w:rPr>
                <w:rFonts w:hint="eastAsia" w:ascii="宋体" w:hAnsi="宋体" w:cs="宋体"/>
                <w:color w:val="000000"/>
                <w:kern w:val="0"/>
                <w:sz w:val="22"/>
              </w:rPr>
            </w:pPr>
            <w:r>
              <w:rPr>
                <w:rFonts w:hint="eastAsia" w:ascii="宋体" w:hAnsi="宋体" w:cs="宋体"/>
                <w:color w:val="000000"/>
                <w:kern w:val="0"/>
                <w:sz w:val="22"/>
              </w:rPr>
              <w:t>防火墙（职场）</w:t>
            </w:r>
          </w:p>
        </w:tc>
        <w:tc>
          <w:tcPr>
            <w:tcW w:w="945" w:type="dxa"/>
            <w:shd w:val="clear" w:color="auto" w:fill="auto"/>
            <w:noWrap/>
            <w:vAlign w:val="center"/>
          </w:tcPr>
          <w:p w14:paraId="6AE3B9A9">
            <w:pPr>
              <w:widowControl/>
              <w:jc w:val="center"/>
              <w:rPr>
                <w:rFonts w:hint="eastAsia" w:ascii="宋体" w:hAnsi="宋体" w:cs="宋体"/>
                <w:color w:val="000000"/>
                <w:kern w:val="0"/>
                <w:sz w:val="22"/>
              </w:rPr>
            </w:pPr>
            <w:r>
              <w:rPr>
                <w:rFonts w:hint="eastAsia" w:ascii="宋体" w:hAnsi="宋体" w:cs="宋体"/>
                <w:color w:val="000000"/>
                <w:kern w:val="0"/>
                <w:sz w:val="22"/>
              </w:rPr>
              <w:t>2</w:t>
            </w:r>
          </w:p>
        </w:tc>
      </w:tr>
      <w:tr w14:paraId="7905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70" w:type="dxa"/>
            <w:gridSpan w:val="4"/>
            <w:shd w:val="clear" w:color="auto" w:fill="auto"/>
            <w:noWrap/>
            <w:vAlign w:val="center"/>
          </w:tcPr>
          <w:p w14:paraId="3936A49D">
            <w:pPr>
              <w:widowControl/>
              <w:jc w:val="center"/>
              <w:rPr>
                <w:rFonts w:hint="eastAsia" w:ascii="宋体" w:hAnsi="宋体" w:cs="宋体"/>
                <w:color w:val="000000"/>
                <w:kern w:val="0"/>
                <w:sz w:val="22"/>
              </w:rPr>
            </w:pPr>
            <w:r>
              <w:rPr>
                <w:rFonts w:hint="eastAsia" w:ascii="宋体" w:hAnsi="宋体" w:cs="宋体"/>
                <w:color w:val="000000"/>
                <w:kern w:val="0"/>
                <w:sz w:val="22"/>
              </w:rPr>
              <w:t>总计：</w:t>
            </w:r>
          </w:p>
        </w:tc>
        <w:tc>
          <w:tcPr>
            <w:tcW w:w="945" w:type="dxa"/>
            <w:shd w:val="clear" w:color="auto" w:fill="auto"/>
            <w:noWrap/>
            <w:vAlign w:val="center"/>
          </w:tcPr>
          <w:p w14:paraId="0055DCD4">
            <w:pPr>
              <w:widowControl/>
              <w:jc w:val="center"/>
              <w:rPr>
                <w:rFonts w:hint="eastAsia" w:ascii="宋体" w:hAnsi="宋体" w:cs="宋体"/>
                <w:color w:val="000000"/>
                <w:kern w:val="0"/>
                <w:sz w:val="22"/>
              </w:rPr>
            </w:pPr>
            <w:r>
              <w:rPr>
                <w:rFonts w:hint="eastAsia" w:ascii="宋体" w:hAnsi="宋体" w:cs="宋体"/>
                <w:color w:val="000000"/>
                <w:kern w:val="0"/>
                <w:sz w:val="22"/>
              </w:rPr>
              <w:t>57</w:t>
            </w:r>
          </w:p>
        </w:tc>
      </w:tr>
      <w:bookmarkEnd w:id="7"/>
    </w:tbl>
    <w:p w14:paraId="5BF069D9">
      <w:pPr>
        <w:pStyle w:val="2"/>
        <w:ind w:left="480" w:firstLine="480"/>
      </w:pPr>
    </w:p>
    <w:p w14:paraId="31198146">
      <w:pPr>
        <w:pStyle w:val="2"/>
        <w:ind w:left="480" w:firstLine="480"/>
      </w:pPr>
    </w:p>
    <w:p w14:paraId="3A81334C">
      <w:pPr>
        <w:pStyle w:val="5"/>
        <w:numPr>
          <w:ilvl w:val="1"/>
          <w:numId w:val="1"/>
        </w:numPr>
        <w:spacing w:line="360" w:lineRule="auto"/>
        <w:rPr>
          <w:rFonts w:hint="eastAsia"/>
        </w:rPr>
      </w:pPr>
      <w:r>
        <w:rPr>
          <w:rFonts w:hint="eastAsia" w:asciiTheme="minorEastAsia" w:hAnsiTheme="minorEastAsia" w:eastAsiaTheme="minorEastAsia"/>
          <w:sz w:val="24"/>
          <w:szCs w:val="24"/>
        </w:rPr>
        <w:t>项目预算</w:t>
      </w:r>
    </w:p>
    <w:p w14:paraId="0999AE6C">
      <w:r>
        <w:rPr>
          <w:rFonts w:hint="eastAsia" w:asciiTheme="minorEastAsia" w:hAnsiTheme="minorEastAsia" w:eastAsiaTheme="minorEastAsia"/>
          <w:szCs w:val="24"/>
        </w:rPr>
        <w:t>本项目预算金额为307万元。</w:t>
      </w:r>
    </w:p>
    <w:p w14:paraId="67C52778">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设备需求说明</w:t>
      </w:r>
    </w:p>
    <w:p w14:paraId="11881651">
      <w:pPr>
        <w:rPr>
          <w:color w:val="FF0000"/>
        </w:rPr>
      </w:pPr>
      <w:r>
        <w:rPr>
          <w:rFonts w:hint="eastAsia"/>
          <w:color w:val="FF0000"/>
        </w:rPr>
        <w:t>偏离表中基础要求项必须每项均满足要求，否则技术分计0分。</w:t>
      </w:r>
    </w:p>
    <w:p w14:paraId="2CCCCE3C">
      <w:pPr>
        <w:rPr>
          <w:color w:val="FF0000"/>
        </w:rPr>
      </w:pPr>
      <w:r>
        <w:rPr>
          <w:rFonts w:hint="eastAsia"/>
          <w:color w:val="FF0000"/>
        </w:rPr>
        <w:t>功能要求项允许不满足。</w:t>
      </w:r>
    </w:p>
    <w:p w14:paraId="48109F1A">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3.4.1互联网区外部防火墙共2台</w:t>
      </w:r>
    </w:p>
    <w:tbl>
      <w:tblPr>
        <w:tblStyle w:val="19"/>
        <w:tblW w:w="84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400"/>
        <w:gridCol w:w="5160"/>
      </w:tblGrid>
      <w:tr w14:paraId="5E9B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shd w:val="clear" w:color="auto" w:fill="auto"/>
            <w:vAlign w:val="bottom"/>
          </w:tcPr>
          <w:p w14:paraId="40B470FA">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项目名称</w:t>
            </w:r>
          </w:p>
        </w:tc>
        <w:tc>
          <w:tcPr>
            <w:tcW w:w="1040" w:type="dxa"/>
            <w:shd w:val="clear" w:color="auto" w:fill="auto"/>
            <w:vAlign w:val="center"/>
          </w:tcPr>
          <w:p w14:paraId="655EFA10">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类别</w:t>
            </w:r>
          </w:p>
        </w:tc>
        <w:tc>
          <w:tcPr>
            <w:tcW w:w="1400" w:type="dxa"/>
            <w:shd w:val="clear" w:color="auto" w:fill="auto"/>
            <w:vAlign w:val="center"/>
          </w:tcPr>
          <w:p w14:paraId="07AC3073">
            <w:pPr>
              <w:widowControl/>
              <w:jc w:val="center"/>
              <w:rPr>
                <w:rFonts w:hint="eastAsia" w:ascii="宋体" w:hAnsi="宋体" w:cs="宋体"/>
                <w:kern w:val="0"/>
                <w:sz w:val="21"/>
                <w:szCs w:val="21"/>
              </w:rPr>
            </w:pPr>
            <w:r>
              <w:rPr>
                <w:rFonts w:hint="eastAsia" w:ascii="宋体" w:hAnsi="宋体" w:cs="宋体"/>
                <w:kern w:val="0"/>
                <w:sz w:val="21"/>
                <w:szCs w:val="21"/>
              </w:rPr>
              <w:t>要求项</w:t>
            </w:r>
          </w:p>
        </w:tc>
        <w:tc>
          <w:tcPr>
            <w:tcW w:w="5160" w:type="dxa"/>
            <w:shd w:val="clear" w:color="auto" w:fill="auto"/>
            <w:vAlign w:val="center"/>
          </w:tcPr>
          <w:p w14:paraId="73CB702F">
            <w:pPr>
              <w:widowControl/>
              <w:jc w:val="center"/>
              <w:rPr>
                <w:rFonts w:hint="eastAsia" w:ascii="宋体" w:hAnsi="宋体" w:cs="宋体"/>
                <w:kern w:val="0"/>
                <w:sz w:val="21"/>
                <w:szCs w:val="21"/>
              </w:rPr>
            </w:pPr>
            <w:r>
              <w:rPr>
                <w:rFonts w:hint="eastAsia" w:ascii="宋体" w:hAnsi="宋体" w:cs="宋体"/>
                <w:kern w:val="0"/>
                <w:sz w:val="21"/>
                <w:szCs w:val="21"/>
              </w:rPr>
              <w:t>要求明细</w:t>
            </w:r>
          </w:p>
        </w:tc>
      </w:tr>
      <w:tr w14:paraId="292D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167DCF34">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IDC网络设备升级项目三期</w:t>
            </w:r>
          </w:p>
        </w:tc>
        <w:tc>
          <w:tcPr>
            <w:tcW w:w="1040" w:type="dxa"/>
            <w:vMerge w:val="restart"/>
            <w:shd w:val="clear" w:color="auto" w:fill="auto"/>
            <w:vAlign w:val="center"/>
          </w:tcPr>
          <w:p w14:paraId="7382ADB1">
            <w:pPr>
              <w:widowControl/>
              <w:jc w:val="center"/>
              <w:rPr>
                <w:rFonts w:hint="eastAsia" w:ascii="宋体" w:hAnsi="宋体" w:cs="宋体"/>
                <w:kern w:val="0"/>
                <w:sz w:val="21"/>
                <w:szCs w:val="21"/>
              </w:rPr>
            </w:pPr>
            <w:r>
              <w:rPr>
                <w:rFonts w:hint="eastAsia" w:ascii="宋体" w:hAnsi="宋体" w:cs="宋体"/>
                <w:kern w:val="0"/>
                <w:sz w:val="21"/>
                <w:szCs w:val="21"/>
              </w:rPr>
              <w:t>★基础要求</w:t>
            </w:r>
          </w:p>
        </w:tc>
        <w:tc>
          <w:tcPr>
            <w:tcW w:w="1400" w:type="dxa"/>
            <w:shd w:val="clear" w:color="auto" w:fill="auto"/>
            <w:vAlign w:val="center"/>
          </w:tcPr>
          <w:p w14:paraId="774E5B27">
            <w:pPr>
              <w:widowControl/>
              <w:jc w:val="left"/>
              <w:rPr>
                <w:rFonts w:hint="eastAsia" w:ascii="宋体" w:hAnsi="宋体" w:cs="宋体"/>
                <w:kern w:val="0"/>
                <w:sz w:val="21"/>
                <w:szCs w:val="21"/>
              </w:rPr>
            </w:pPr>
            <w:r>
              <w:rPr>
                <w:rFonts w:hint="eastAsia" w:ascii="宋体" w:hAnsi="宋体" w:cs="宋体"/>
                <w:kern w:val="0"/>
                <w:sz w:val="21"/>
                <w:szCs w:val="21"/>
              </w:rPr>
              <w:t>信创要求</w:t>
            </w:r>
          </w:p>
        </w:tc>
        <w:tc>
          <w:tcPr>
            <w:tcW w:w="5160" w:type="dxa"/>
            <w:shd w:val="clear" w:color="000000" w:fill="FFFFFF"/>
            <w:vAlign w:val="bottom"/>
          </w:tcPr>
          <w:p w14:paraId="140BF11D">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7E4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7A3FF1F">
            <w:pPr>
              <w:widowControl/>
              <w:jc w:val="left"/>
              <w:rPr>
                <w:rFonts w:hint="eastAsia" w:ascii="宋体" w:hAnsi="宋体" w:cs="宋体"/>
                <w:color w:val="000000"/>
                <w:kern w:val="0"/>
                <w:sz w:val="21"/>
                <w:szCs w:val="21"/>
              </w:rPr>
            </w:pPr>
          </w:p>
        </w:tc>
        <w:tc>
          <w:tcPr>
            <w:tcW w:w="1040" w:type="dxa"/>
            <w:vMerge w:val="continue"/>
            <w:vAlign w:val="center"/>
          </w:tcPr>
          <w:p w14:paraId="497F1CB5">
            <w:pPr>
              <w:widowControl/>
              <w:jc w:val="left"/>
              <w:rPr>
                <w:rFonts w:hint="eastAsia" w:ascii="宋体" w:hAnsi="宋体" w:cs="宋体"/>
                <w:kern w:val="0"/>
                <w:sz w:val="21"/>
                <w:szCs w:val="21"/>
              </w:rPr>
            </w:pPr>
          </w:p>
        </w:tc>
        <w:tc>
          <w:tcPr>
            <w:tcW w:w="1400" w:type="dxa"/>
            <w:shd w:val="clear" w:color="auto" w:fill="auto"/>
            <w:vAlign w:val="bottom"/>
          </w:tcPr>
          <w:p w14:paraId="2C7D1A6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案例要求</w:t>
            </w:r>
          </w:p>
        </w:tc>
        <w:tc>
          <w:tcPr>
            <w:tcW w:w="5160" w:type="dxa"/>
            <w:shd w:val="clear" w:color="auto" w:fill="auto"/>
            <w:vAlign w:val="bottom"/>
          </w:tcPr>
          <w:p w14:paraId="566BBD29">
            <w:pPr>
              <w:widowControl/>
              <w:jc w:val="left"/>
              <w:rPr>
                <w:rFonts w:hint="eastAsia" w:ascii="宋体" w:hAnsi="宋体" w:cs="宋体"/>
                <w:kern w:val="0"/>
                <w:sz w:val="21"/>
                <w:szCs w:val="21"/>
              </w:rPr>
            </w:pPr>
            <w:r>
              <w:rPr>
                <w:rFonts w:hint="eastAsia" w:ascii="宋体" w:hAnsi="宋体" w:cs="宋体"/>
                <w:kern w:val="0"/>
                <w:sz w:val="21"/>
                <w:szCs w:val="21"/>
              </w:rPr>
              <w:t>提供所投型号系列在证券行业的案例（提供证明材料）</w:t>
            </w:r>
          </w:p>
        </w:tc>
      </w:tr>
      <w:tr w14:paraId="15FA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2ADB095C">
            <w:pPr>
              <w:widowControl/>
              <w:jc w:val="left"/>
              <w:rPr>
                <w:rFonts w:hint="eastAsia" w:ascii="宋体" w:hAnsi="宋体" w:cs="宋体"/>
                <w:color w:val="000000"/>
                <w:kern w:val="0"/>
                <w:sz w:val="21"/>
                <w:szCs w:val="21"/>
              </w:rPr>
            </w:pPr>
          </w:p>
        </w:tc>
        <w:tc>
          <w:tcPr>
            <w:tcW w:w="1040" w:type="dxa"/>
            <w:vMerge w:val="continue"/>
            <w:vAlign w:val="center"/>
          </w:tcPr>
          <w:p w14:paraId="3002CDE3">
            <w:pPr>
              <w:widowControl/>
              <w:jc w:val="left"/>
              <w:rPr>
                <w:rFonts w:hint="eastAsia" w:ascii="宋体" w:hAnsi="宋体" w:cs="宋体"/>
                <w:kern w:val="0"/>
                <w:sz w:val="21"/>
                <w:szCs w:val="21"/>
              </w:rPr>
            </w:pPr>
          </w:p>
        </w:tc>
        <w:tc>
          <w:tcPr>
            <w:tcW w:w="1400" w:type="dxa"/>
            <w:shd w:val="clear" w:color="auto" w:fill="auto"/>
            <w:vAlign w:val="bottom"/>
          </w:tcPr>
          <w:p w14:paraId="76A15188">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产品要求</w:t>
            </w:r>
          </w:p>
        </w:tc>
        <w:tc>
          <w:tcPr>
            <w:tcW w:w="5160" w:type="dxa"/>
            <w:shd w:val="clear" w:color="auto" w:fill="auto"/>
            <w:vAlign w:val="bottom"/>
          </w:tcPr>
          <w:p w14:paraId="25C1C6F8">
            <w:pPr>
              <w:widowControl/>
              <w:jc w:val="left"/>
              <w:rPr>
                <w:rFonts w:hint="eastAsia" w:ascii="宋体" w:hAnsi="宋体" w:cs="宋体"/>
                <w:kern w:val="0"/>
                <w:sz w:val="21"/>
                <w:szCs w:val="21"/>
              </w:rPr>
            </w:pPr>
            <w:r>
              <w:rPr>
                <w:rFonts w:hint="eastAsia" w:ascii="宋体" w:hAnsi="宋体" w:cs="宋体"/>
                <w:kern w:val="0"/>
                <w:sz w:val="21"/>
                <w:szCs w:val="21"/>
              </w:rPr>
              <w:t>要求所投产品具备中国国家信息安全产品认证证书（提供有效证书复印件）</w:t>
            </w:r>
          </w:p>
        </w:tc>
      </w:tr>
      <w:tr w14:paraId="38CC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52E1A061">
            <w:pPr>
              <w:widowControl/>
              <w:jc w:val="left"/>
              <w:rPr>
                <w:rFonts w:hint="eastAsia" w:ascii="宋体" w:hAnsi="宋体" w:cs="宋体"/>
                <w:color w:val="000000"/>
                <w:kern w:val="0"/>
                <w:sz w:val="21"/>
                <w:szCs w:val="21"/>
              </w:rPr>
            </w:pPr>
          </w:p>
        </w:tc>
        <w:tc>
          <w:tcPr>
            <w:tcW w:w="1040" w:type="dxa"/>
            <w:vMerge w:val="continue"/>
            <w:vAlign w:val="center"/>
          </w:tcPr>
          <w:p w14:paraId="34D299DB">
            <w:pPr>
              <w:widowControl/>
              <w:jc w:val="left"/>
              <w:rPr>
                <w:rFonts w:hint="eastAsia" w:ascii="宋体" w:hAnsi="宋体" w:cs="宋体"/>
                <w:kern w:val="0"/>
                <w:sz w:val="21"/>
                <w:szCs w:val="21"/>
              </w:rPr>
            </w:pPr>
          </w:p>
        </w:tc>
        <w:tc>
          <w:tcPr>
            <w:tcW w:w="1400" w:type="dxa"/>
            <w:shd w:val="clear" w:color="auto" w:fill="auto"/>
            <w:vAlign w:val="bottom"/>
          </w:tcPr>
          <w:p w14:paraId="0E6540A0">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排名要求</w:t>
            </w:r>
          </w:p>
        </w:tc>
        <w:tc>
          <w:tcPr>
            <w:tcW w:w="5160" w:type="dxa"/>
            <w:shd w:val="clear" w:color="auto" w:fill="auto"/>
            <w:vAlign w:val="bottom"/>
          </w:tcPr>
          <w:p w14:paraId="5D6CFA56">
            <w:pPr>
              <w:widowControl/>
              <w:jc w:val="left"/>
              <w:rPr>
                <w:rFonts w:hint="eastAsia" w:ascii="宋体" w:hAnsi="宋体" w:cs="宋体"/>
                <w:kern w:val="0"/>
                <w:sz w:val="21"/>
                <w:szCs w:val="21"/>
              </w:rPr>
            </w:pPr>
            <w:r>
              <w:rPr>
                <w:rFonts w:hint="eastAsia" w:ascii="宋体" w:hAnsi="宋体" w:cs="宋体"/>
                <w:kern w:val="0"/>
                <w:sz w:val="21"/>
                <w:szCs w:val="21"/>
              </w:rPr>
              <w:t>要求所投产品连续6年入围Gartner网络防火墙魔力象限，提供有效证明材料。</w:t>
            </w:r>
          </w:p>
        </w:tc>
      </w:tr>
      <w:tr w14:paraId="314D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1E6E1E34">
            <w:pPr>
              <w:widowControl/>
              <w:jc w:val="left"/>
              <w:rPr>
                <w:rFonts w:hint="eastAsia" w:ascii="宋体" w:hAnsi="宋体" w:cs="宋体"/>
                <w:color w:val="000000"/>
                <w:kern w:val="0"/>
                <w:sz w:val="21"/>
                <w:szCs w:val="21"/>
              </w:rPr>
            </w:pPr>
          </w:p>
        </w:tc>
        <w:tc>
          <w:tcPr>
            <w:tcW w:w="1040" w:type="dxa"/>
            <w:vMerge w:val="continue"/>
            <w:vAlign w:val="center"/>
          </w:tcPr>
          <w:p w14:paraId="01897215">
            <w:pPr>
              <w:widowControl/>
              <w:jc w:val="left"/>
              <w:rPr>
                <w:rFonts w:hint="eastAsia" w:ascii="宋体" w:hAnsi="宋体" w:cs="宋体"/>
                <w:kern w:val="0"/>
                <w:sz w:val="21"/>
                <w:szCs w:val="21"/>
              </w:rPr>
            </w:pPr>
          </w:p>
        </w:tc>
        <w:tc>
          <w:tcPr>
            <w:tcW w:w="1400" w:type="dxa"/>
            <w:shd w:val="clear" w:color="auto" w:fill="auto"/>
            <w:vAlign w:val="bottom"/>
          </w:tcPr>
          <w:p w14:paraId="10EA4428">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IPV6能力</w:t>
            </w:r>
          </w:p>
        </w:tc>
        <w:tc>
          <w:tcPr>
            <w:tcW w:w="5160" w:type="dxa"/>
            <w:shd w:val="clear" w:color="auto" w:fill="auto"/>
            <w:vAlign w:val="bottom"/>
          </w:tcPr>
          <w:p w14:paraId="064572AD">
            <w:pPr>
              <w:widowControl/>
              <w:jc w:val="left"/>
              <w:rPr>
                <w:rFonts w:hint="eastAsia" w:ascii="宋体" w:hAnsi="宋体" w:cs="宋体"/>
                <w:kern w:val="0"/>
                <w:sz w:val="21"/>
                <w:szCs w:val="21"/>
              </w:rPr>
            </w:pPr>
            <w:r>
              <w:rPr>
                <w:rFonts w:hint="eastAsia" w:ascii="宋体" w:hAnsi="宋体" w:cs="宋体"/>
                <w:kern w:val="0"/>
                <w:sz w:val="21"/>
                <w:szCs w:val="21"/>
              </w:rPr>
              <w:t>产品支持IPv4/IPv6双栈工作模式，以适应IPv6发展趋势。（需提供产品功能截图证明）</w:t>
            </w:r>
          </w:p>
        </w:tc>
      </w:tr>
      <w:tr w14:paraId="11F3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7254421D">
            <w:pPr>
              <w:widowControl/>
              <w:jc w:val="left"/>
              <w:rPr>
                <w:rFonts w:hint="eastAsia" w:ascii="宋体" w:hAnsi="宋体" w:cs="宋体"/>
                <w:color w:val="000000"/>
                <w:kern w:val="0"/>
                <w:sz w:val="21"/>
                <w:szCs w:val="21"/>
              </w:rPr>
            </w:pPr>
          </w:p>
        </w:tc>
        <w:tc>
          <w:tcPr>
            <w:tcW w:w="1040" w:type="dxa"/>
            <w:vMerge w:val="continue"/>
            <w:vAlign w:val="center"/>
          </w:tcPr>
          <w:p w14:paraId="25793A20">
            <w:pPr>
              <w:widowControl/>
              <w:jc w:val="left"/>
              <w:rPr>
                <w:rFonts w:hint="eastAsia" w:ascii="宋体" w:hAnsi="宋体" w:cs="宋体"/>
                <w:kern w:val="0"/>
                <w:sz w:val="21"/>
                <w:szCs w:val="21"/>
              </w:rPr>
            </w:pPr>
          </w:p>
        </w:tc>
        <w:tc>
          <w:tcPr>
            <w:tcW w:w="1400" w:type="dxa"/>
            <w:shd w:val="clear" w:color="auto" w:fill="auto"/>
            <w:vAlign w:val="bottom"/>
          </w:tcPr>
          <w:p w14:paraId="36B7A8E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双机切换</w:t>
            </w:r>
          </w:p>
        </w:tc>
        <w:tc>
          <w:tcPr>
            <w:tcW w:w="5160" w:type="dxa"/>
            <w:shd w:val="clear" w:color="auto" w:fill="auto"/>
            <w:vAlign w:val="bottom"/>
          </w:tcPr>
          <w:p w14:paraId="3ED87AFE">
            <w:pPr>
              <w:widowControl/>
              <w:jc w:val="left"/>
              <w:rPr>
                <w:rFonts w:hint="eastAsia" w:ascii="宋体" w:hAnsi="宋体" w:cs="宋体"/>
                <w:kern w:val="0"/>
                <w:sz w:val="21"/>
                <w:szCs w:val="21"/>
              </w:rPr>
            </w:pPr>
            <w:r>
              <w:rPr>
                <w:rFonts w:hint="eastAsia" w:ascii="宋体" w:hAnsi="宋体" w:cs="宋体"/>
                <w:kern w:val="0"/>
                <w:sz w:val="21"/>
                <w:szCs w:val="21"/>
              </w:rPr>
              <w:t>支持双机切换，当主机故障时，双机切换时不丢包；支持基于接口、PING等监测对象实现 HA 切换</w:t>
            </w:r>
          </w:p>
        </w:tc>
      </w:tr>
      <w:tr w14:paraId="713E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820" w:type="dxa"/>
            <w:vMerge w:val="continue"/>
            <w:vAlign w:val="center"/>
          </w:tcPr>
          <w:p w14:paraId="3A590197">
            <w:pPr>
              <w:widowControl/>
              <w:jc w:val="left"/>
              <w:rPr>
                <w:rFonts w:hint="eastAsia" w:ascii="宋体" w:hAnsi="宋体" w:cs="宋体"/>
                <w:color w:val="000000"/>
                <w:kern w:val="0"/>
                <w:sz w:val="21"/>
                <w:szCs w:val="21"/>
              </w:rPr>
            </w:pPr>
          </w:p>
        </w:tc>
        <w:tc>
          <w:tcPr>
            <w:tcW w:w="1040" w:type="dxa"/>
            <w:vMerge w:val="continue"/>
            <w:vAlign w:val="center"/>
          </w:tcPr>
          <w:p w14:paraId="039EC245">
            <w:pPr>
              <w:widowControl/>
              <w:jc w:val="left"/>
              <w:rPr>
                <w:rFonts w:hint="eastAsia" w:ascii="宋体" w:hAnsi="宋体" w:cs="宋体"/>
                <w:kern w:val="0"/>
                <w:sz w:val="21"/>
                <w:szCs w:val="21"/>
              </w:rPr>
            </w:pPr>
          </w:p>
        </w:tc>
        <w:tc>
          <w:tcPr>
            <w:tcW w:w="1400" w:type="dxa"/>
            <w:shd w:val="clear" w:color="auto" w:fill="auto"/>
            <w:vAlign w:val="bottom"/>
          </w:tcPr>
          <w:p w14:paraId="7C8F7E5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性能参数</w:t>
            </w:r>
          </w:p>
        </w:tc>
        <w:tc>
          <w:tcPr>
            <w:tcW w:w="5160" w:type="dxa"/>
            <w:shd w:val="clear" w:color="auto" w:fill="auto"/>
            <w:vAlign w:val="bottom"/>
          </w:tcPr>
          <w:p w14:paraId="27EE04E7">
            <w:pPr>
              <w:widowControl/>
              <w:jc w:val="left"/>
              <w:rPr>
                <w:rFonts w:hint="eastAsia" w:ascii="宋体" w:hAnsi="宋体" w:cs="宋体"/>
                <w:kern w:val="0"/>
                <w:sz w:val="21"/>
                <w:szCs w:val="21"/>
              </w:rPr>
            </w:pPr>
            <w:r>
              <w:rPr>
                <w:rFonts w:hint="eastAsia" w:ascii="宋体" w:hAnsi="宋体" w:cs="宋体"/>
                <w:kern w:val="0"/>
                <w:sz w:val="21"/>
                <w:szCs w:val="21"/>
              </w:rPr>
              <w:t>网络层吞吐量≥8G；全威胁吞吐量≥800M；并发连接数≥400万；HTTP新建连接数≥10万（提供证明材料，如官网截图、产品彩页截图、第三方检测报告等）</w:t>
            </w:r>
          </w:p>
        </w:tc>
      </w:tr>
      <w:tr w14:paraId="5D06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55D495C">
            <w:pPr>
              <w:widowControl/>
              <w:jc w:val="left"/>
              <w:rPr>
                <w:rFonts w:hint="eastAsia" w:ascii="宋体" w:hAnsi="宋体" w:cs="宋体"/>
                <w:color w:val="000000"/>
                <w:kern w:val="0"/>
                <w:sz w:val="21"/>
                <w:szCs w:val="21"/>
              </w:rPr>
            </w:pPr>
          </w:p>
        </w:tc>
        <w:tc>
          <w:tcPr>
            <w:tcW w:w="1040" w:type="dxa"/>
            <w:vMerge w:val="continue"/>
            <w:vAlign w:val="center"/>
          </w:tcPr>
          <w:p w14:paraId="36D40798">
            <w:pPr>
              <w:widowControl/>
              <w:jc w:val="left"/>
              <w:rPr>
                <w:rFonts w:hint="eastAsia" w:ascii="宋体" w:hAnsi="宋体" w:cs="宋体"/>
                <w:kern w:val="0"/>
                <w:sz w:val="21"/>
                <w:szCs w:val="21"/>
              </w:rPr>
            </w:pPr>
          </w:p>
        </w:tc>
        <w:tc>
          <w:tcPr>
            <w:tcW w:w="1400" w:type="dxa"/>
            <w:shd w:val="clear" w:color="auto" w:fill="auto"/>
            <w:vAlign w:val="center"/>
          </w:tcPr>
          <w:p w14:paraId="7F341C6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维保要求</w:t>
            </w:r>
          </w:p>
        </w:tc>
        <w:tc>
          <w:tcPr>
            <w:tcW w:w="5160" w:type="dxa"/>
            <w:shd w:val="clear" w:color="auto" w:fill="auto"/>
            <w:vAlign w:val="center"/>
          </w:tcPr>
          <w:p w14:paraId="0D324827">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所有设备包含5年原厂维保服务</w:t>
            </w:r>
          </w:p>
        </w:tc>
      </w:tr>
      <w:tr w14:paraId="51F0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67B03562">
            <w:pPr>
              <w:widowControl/>
              <w:jc w:val="left"/>
              <w:rPr>
                <w:rFonts w:hint="eastAsia" w:ascii="宋体" w:hAnsi="宋体" w:cs="宋体"/>
                <w:color w:val="000000"/>
                <w:kern w:val="0"/>
                <w:sz w:val="21"/>
                <w:szCs w:val="21"/>
              </w:rPr>
            </w:pPr>
          </w:p>
        </w:tc>
        <w:tc>
          <w:tcPr>
            <w:tcW w:w="1040" w:type="dxa"/>
            <w:vMerge w:val="continue"/>
            <w:vAlign w:val="center"/>
          </w:tcPr>
          <w:p w14:paraId="6DFCE5B6">
            <w:pPr>
              <w:widowControl/>
              <w:jc w:val="left"/>
              <w:rPr>
                <w:rFonts w:hint="eastAsia" w:ascii="宋体" w:hAnsi="宋体" w:cs="宋体"/>
                <w:kern w:val="0"/>
                <w:sz w:val="21"/>
                <w:szCs w:val="21"/>
              </w:rPr>
            </w:pPr>
          </w:p>
        </w:tc>
        <w:tc>
          <w:tcPr>
            <w:tcW w:w="1400" w:type="dxa"/>
            <w:shd w:val="clear" w:color="auto" w:fill="auto"/>
            <w:vAlign w:val="bottom"/>
          </w:tcPr>
          <w:p w14:paraId="1A0573A7">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端口要求</w:t>
            </w:r>
          </w:p>
        </w:tc>
        <w:tc>
          <w:tcPr>
            <w:tcW w:w="5160" w:type="dxa"/>
            <w:shd w:val="clear" w:color="auto" w:fill="auto"/>
            <w:vAlign w:val="bottom"/>
          </w:tcPr>
          <w:p w14:paraId="5E327CF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提供不少于4千兆电口，4千兆光口的接口。（提供证明材料，如官网截图、产品彩页截图、第三方报告等）</w:t>
            </w:r>
          </w:p>
        </w:tc>
      </w:tr>
      <w:tr w14:paraId="0F5E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9081A0D">
            <w:pPr>
              <w:widowControl/>
              <w:jc w:val="left"/>
              <w:rPr>
                <w:rFonts w:hint="eastAsia" w:ascii="宋体" w:hAnsi="宋体" w:cs="宋体"/>
                <w:color w:val="000000"/>
                <w:kern w:val="0"/>
                <w:sz w:val="21"/>
                <w:szCs w:val="21"/>
              </w:rPr>
            </w:pPr>
          </w:p>
        </w:tc>
        <w:tc>
          <w:tcPr>
            <w:tcW w:w="1040" w:type="dxa"/>
            <w:vMerge w:val="continue"/>
            <w:vAlign w:val="center"/>
          </w:tcPr>
          <w:p w14:paraId="16DC1DF9">
            <w:pPr>
              <w:widowControl/>
              <w:jc w:val="left"/>
              <w:rPr>
                <w:rFonts w:hint="eastAsia" w:ascii="宋体" w:hAnsi="宋体" w:cs="宋体"/>
                <w:kern w:val="0"/>
                <w:sz w:val="21"/>
                <w:szCs w:val="21"/>
              </w:rPr>
            </w:pPr>
          </w:p>
        </w:tc>
        <w:tc>
          <w:tcPr>
            <w:tcW w:w="1400" w:type="dxa"/>
            <w:vMerge w:val="restart"/>
            <w:shd w:val="clear" w:color="auto" w:fill="auto"/>
            <w:vAlign w:val="center"/>
          </w:tcPr>
          <w:p w14:paraId="1576843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硬件规格</w:t>
            </w:r>
          </w:p>
        </w:tc>
        <w:tc>
          <w:tcPr>
            <w:tcW w:w="5160" w:type="dxa"/>
            <w:shd w:val="clear" w:color="auto" w:fill="auto"/>
            <w:vAlign w:val="bottom"/>
          </w:tcPr>
          <w:p w14:paraId="7EBC0D7F">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内存≥8GB</w:t>
            </w:r>
          </w:p>
        </w:tc>
      </w:tr>
      <w:tr w14:paraId="742D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E015CD3">
            <w:pPr>
              <w:widowControl/>
              <w:jc w:val="left"/>
              <w:rPr>
                <w:rFonts w:hint="eastAsia" w:ascii="宋体" w:hAnsi="宋体" w:cs="宋体"/>
                <w:color w:val="000000"/>
                <w:kern w:val="0"/>
                <w:sz w:val="21"/>
                <w:szCs w:val="21"/>
              </w:rPr>
            </w:pPr>
          </w:p>
        </w:tc>
        <w:tc>
          <w:tcPr>
            <w:tcW w:w="1040" w:type="dxa"/>
            <w:vMerge w:val="continue"/>
            <w:vAlign w:val="center"/>
          </w:tcPr>
          <w:p w14:paraId="5552CFE3">
            <w:pPr>
              <w:widowControl/>
              <w:jc w:val="left"/>
              <w:rPr>
                <w:rFonts w:hint="eastAsia" w:ascii="宋体" w:hAnsi="宋体" w:cs="宋体"/>
                <w:kern w:val="0"/>
                <w:sz w:val="21"/>
                <w:szCs w:val="21"/>
              </w:rPr>
            </w:pPr>
          </w:p>
        </w:tc>
        <w:tc>
          <w:tcPr>
            <w:tcW w:w="1400" w:type="dxa"/>
            <w:vMerge w:val="continue"/>
            <w:vAlign w:val="center"/>
          </w:tcPr>
          <w:p w14:paraId="64FE0B02">
            <w:pPr>
              <w:widowControl/>
              <w:jc w:val="left"/>
              <w:rPr>
                <w:rFonts w:hint="eastAsia" w:ascii="宋体" w:hAnsi="宋体" w:cs="宋体"/>
                <w:color w:val="000000"/>
                <w:kern w:val="0"/>
                <w:sz w:val="21"/>
                <w:szCs w:val="21"/>
              </w:rPr>
            </w:pPr>
          </w:p>
        </w:tc>
        <w:tc>
          <w:tcPr>
            <w:tcW w:w="5160" w:type="dxa"/>
            <w:shd w:val="clear" w:color="auto" w:fill="auto"/>
            <w:vAlign w:val="bottom"/>
          </w:tcPr>
          <w:p w14:paraId="00F939E0">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硬盘容量≥128G SSD</w:t>
            </w:r>
          </w:p>
        </w:tc>
      </w:tr>
      <w:tr w14:paraId="09E2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2E83118">
            <w:pPr>
              <w:widowControl/>
              <w:jc w:val="left"/>
              <w:rPr>
                <w:rFonts w:hint="eastAsia" w:ascii="宋体" w:hAnsi="宋体" w:cs="宋体"/>
                <w:color w:val="000000"/>
                <w:kern w:val="0"/>
                <w:sz w:val="21"/>
                <w:szCs w:val="21"/>
              </w:rPr>
            </w:pPr>
          </w:p>
        </w:tc>
        <w:tc>
          <w:tcPr>
            <w:tcW w:w="1040" w:type="dxa"/>
            <w:vMerge w:val="continue"/>
            <w:vAlign w:val="center"/>
          </w:tcPr>
          <w:p w14:paraId="40B031EC">
            <w:pPr>
              <w:widowControl/>
              <w:jc w:val="left"/>
              <w:rPr>
                <w:rFonts w:hint="eastAsia" w:ascii="宋体" w:hAnsi="宋体" w:cs="宋体"/>
                <w:kern w:val="0"/>
                <w:sz w:val="21"/>
                <w:szCs w:val="21"/>
              </w:rPr>
            </w:pPr>
          </w:p>
        </w:tc>
        <w:tc>
          <w:tcPr>
            <w:tcW w:w="1400" w:type="dxa"/>
            <w:vMerge w:val="continue"/>
            <w:vAlign w:val="center"/>
          </w:tcPr>
          <w:p w14:paraId="4277FA29">
            <w:pPr>
              <w:widowControl/>
              <w:jc w:val="left"/>
              <w:rPr>
                <w:rFonts w:hint="eastAsia" w:ascii="宋体" w:hAnsi="宋体" w:cs="宋体"/>
                <w:color w:val="000000"/>
                <w:kern w:val="0"/>
                <w:sz w:val="21"/>
                <w:szCs w:val="21"/>
              </w:rPr>
            </w:pPr>
          </w:p>
        </w:tc>
        <w:tc>
          <w:tcPr>
            <w:tcW w:w="5160" w:type="dxa"/>
            <w:shd w:val="clear" w:color="auto" w:fill="auto"/>
            <w:vAlign w:val="bottom"/>
          </w:tcPr>
          <w:p w14:paraId="0FC4BF0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冗余电源，支持热插拔</w:t>
            </w:r>
          </w:p>
        </w:tc>
      </w:tr>
      <w:tr w14:paraId="6A2F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4D19E49">
            <w:pPr>
              <w:widowControl/>
              <w:jc w:val="left"/>
              <w:rPr>
                <w:rFonts w:hint="eastAsia" w:ascii="宋体" w:hAnsi="宋体" w:cs="宋体"/>
                <w:color w:val="000000"/>
                <w:kern w:val="0"/>
                <w:sz w:val="21"/>
                <w:szCs w:val="21"/>
              </w:rPr>
            </w:pPr>
          </w:p>
        </w:tc>
        <w:tc>
          <w:tcPr>
            <w:tcW w:w="1040" w:type="dxa"/>
            <w:vMerge w:val="continue"/>
            <w:vAlign w:val="center"/>
          </w:tcPr>
          <w:p w14:paraId="38B23F6B">
            <w:pPr>
              <w:widowControl/>
              <w:jc w:val="left"/>
              <w:rPr>
                <w:rFonts w:hint="eastAsia" w:ascii="宋体" w:hAnsi="宋体" w:cs="宋体"/>
                <w:kern w:val="0"/>
                <w:sz w:val="21"/>
                <w:szCs w:val="21"/>
              </w:rPr>
            </w:pPr>
          </w:p>
        </w:tc>
        <w:tc>
          <w:tcPr>
            <w:tcW w:w="1400" w:type="dxa"/>
            <w:shd w:val="clear" w:color="auto" w:fill="auto"/>
            <w:vAlign w:val="center"/>
          </w:tcPr>
          <w:p w14:paraId="2937D11A">
            <w:pPr>
              <w:widowControl/>
              <w:jc w:val="left"/>
              <w:rPr>
                <w:rFonts w:hint="eastAsia" w:ascii="宋体" w:hAnsi="宋体" w:cs="宋体"/>
                <w:kern w:val="0"/>
                <w:sz w:val="21"/>
                <w:szCs w:val="21"/>
              </w:rPr>
            </w:pPr>
            <w:r>
              <w:rPr>
                <w:rFonts w:hint="eastAsia" w:ascii="宋体" w:hAnsi="宋体" w:cs="宋体"/>
                <w:kern w:val="0"/>
                <w:sz w:val="21"/>
                <w:szCs w:val="21"/>
              </w:rPr>
              <w:t>QOS限速</w:t>
            </w:r>
          </w:p>
        </w:tc>
        <w:tc>
          <w:tcPr>
            <w:tcW w:w="5160" w:type="dxa"/>
            <w:shd w:val="clear" w:color="auto" w:fill="auto"/>
            <w:vAlign w:val="center"/>
          </w:tcPr>
          <w:p w14:paraId="5D5D9521">
            <w:pPr>
              <w:widowControl/>
              <w:jc w:val="left"/>
              <w:rPr>
                <w:rFonts w:hint="eastAsia" w:ascii="宋体" w:hAnsi="宋体" w:cs="宋体"/>
                <w:kern w:val="0"/>
                <w:sz w:val="21"/>
                <w:szCs w:val="21"/>
              </w:rPr>
            </w:pPr>
            <w:r>
              <w:rPr>
                <w:rFonts w:hint="eastAsia" w:ascii="宋体" w:hAnsi="宋体" w:cs="宋体"/>
                <w:kern w:val="0"/>
                <w:sz w:val="21"/>
                <w:szCs w:val="21"/>
              </w:rPr>
              <w:t>有针对每IP限速到指定带宽的功能</w:t>
            </w:r>
          </w:p>
        </w:tc>
      </w:tr>
      <w:tr w14:paraId="03D5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290BE6FA">
            <w:pPr>
              <w:widowControl/>
              <w:jc w:val="left"/>
              <w:rPr>
                <w:rFonts w:hint="eastAsia" w:ascii="宋体" w:hAnsi="宋体" w:cs="宋体"/>
                <w:color w:val="000000"/>
                <w:kern w:val="0"/>
                <w:sz w:val="21"/>
                <w:szCs w:val="21"/>
              </w:rPr>
            </w:pPr>
          </w:p>
        </w:tc>
        <w:tc>
          <w:tcPr>
            <w:tcW w:w="1040" w:type="dxa"/>
            <w:vMerge w:val="restart"/>
            <w:shd w:val="clear" w:color="auto" w:fill="auto"/>
            <w:vAlign w:val="center"/>
          </w:tcPr>
          <w:p w14:paraId="48A8D25F">
            <w:pPr>
              <w:widowControl/>
              <w:jc w:val="center"/>
              <w:rPr>
                <w:rFonts w:hint="eastAsia" w:ascii="宋体" w:hAnsi="宋体" w:cs="宋体"/>
                <w:kern w:val="0"/>
                <w:sz w:val="21"/>
                <w:szCs w:val="21"/>
              </w:rPr>
            </w:pPr>
            <w:r>
              <w:rPr>
                <w:rFonts w:hint="eastAsia" w:ascii="宋体" w:hAnsi="宋体" w:cs="宋体"/>
                <w:kern w:val="0"/>
                <w:sz w:val="21"/>
                <w:szCs w:val="21"/>
              </w:rPr>
              <w:t>功能要求</w:t>
            </w:r>
          </w:p>
        </w:tc>
        <w:tc>
          <w:tcPr>
            <w:tcW w:w="1400" w:type="dxa"/>
            <w:vMerge w:val="restart"/>
            <w:shd w:val="clear" w:color="auto" w:fill="auto"/>
            <w:vAlign w:val="center"/>
          </w:tcPr>
          <w:p w14:paraId="0F9B6047">
            <w:pPr>
              <w:widowControl/>
              <w:jc w:val="left"/>
              <w:rPr>
                <w:rFonts w:hint="eastAsia" w:ascii="宋体" w:hAnsi="宋体" w:cs="宋体"/>
                <w:kern w:val="0"/>
                <w:sz w:val="21"/>
                <w:szCs w:val="21"/>
              </w:rPr>
            </w:pPr>
            <w:r>
              <w:rPr>
                <w:rFonts w:hint="eastAsia" w:ascii="宋体" w:hAnsi="宋体" w:cs="宋体"/>
                <w:kern w:val="0"/>
                <w:sz w:val="21"/>
                <w:szCs w:val="21"/>
              </w:rPr>
              <w:t>入侵攻击防御</w:t>
            </w:r>
          </w:p>
        </w:tc>
        <w:tc>
          <w:tcPr>
            <w:tcW w:w="5160" w:type="dxa"/>
            <w:shd w:val="clear" w:color="auto" w:fill="auto"/>
            <w:vAlign w:val="center"/>
          </w:tcPr>
          <w:p w14:paraId="56C94E7F">
            <w:pPr>
              <w:widowControl/>
              <w:jc w:val="left"/>
              <w:rPr>
                <w:rFonts w:hint="eastAsia" w:ascii="宋体" w:hAnsi="宋体" w:cs="宋体"/>
                <w:kern w:val="0"/>
                <w:sz w:val="21"/>
                <w:szCs w:val="21"/>
              </w:rPr>
            </w:pPr>
            <w:r>
              <w:rPr>
                <w:rFonts w:hint="eastAsia" w:ascii="宋体" w:hAnsi="宋体" w:cs="宋体"/>
                <w:kern w:val="0"/>
                <w:sz w:val="21"/>
                <w:szCs w:val="21"/>
              </w:rPr>
              <w:t>支持对跨站脚本（XSS）攻击、SQL注入、文件包含攻击、信息泄露攻击、WEBSHELL等攻击类型进行防护。（需提供产品功能截图证明）</w:t>
            </w:r>
          </w:p>
        </w:tc>
      </w:tr>
      <w:tr w14:paraId="605B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65E1D28">
            <w:pPr>
              <w:widowControl/>
              <w:jc w:val="left"/>
              <w:rPr>
                <w:rFonts w:hint="eastAsia" w:ascii="宋体" w:hAnsi="宋体" w:cs="宋体"/>
                <w:color w:val="000000"/>
                <w:kern w:val="0"/>
                <w:sz w:val="21"/>
                <w:szCs w:val="21"/>
              </w:rPr>
            </w:pPr>
          </w:p>
        </w:tc>
        <w:tc>
          <w:tcPr>
            <w:tcW w:w="1040" w:type="dxa"/>
            <w:vMerge w:val="continue"/>
            <w:vAlign w:val="center"/>
          </w:tcPr>
          <w:p w14:paraId="039156CF">
            <w:pPr>
              <w:widowControl/>
              <w:jc w:val="left"/>
              <w:rPr>
                <w:rFonts w:hint="eastAsia" w:ascii="宋体" w:hAnsi="宋体" w:cs="宋体"/>
                <w:kern w:val="0"/>
                <w:sz w:val="21"/>
                <w:szCs w:val="21"/>
              </w:rPr>
            </w:pPr>
          </w:p>
        </w:tc>
        <w:tc>
          <w:tcPr>
            <w:tcW w:w="1400" w:type="dxa"/>
            <w:vMerge w:val="continue"/>
            <w:vAlign w:val="center"/>
          </w:tcPr>
          <w:p w14:paraId="79BBFD6A">
            <w:pPr>
              <w:widowControl/>
              <w:jc w:val="left"/>
              <w:rPr>
                <w:rFonts w:hint="eastAsia" w:ascii="宋体" w:hAnsi="宋体" w:cs="宋体"/>
                <w:kern w:val="0"/>
                <w:sz w:val="21"/>
                <w:szCs w:val="21"/>
              </w:rPr>
            </w:pPr>
          </w:p>
        </w:tc>
        <w:tc>
          <w:tcPr>
            <w:tcW w:w="5160" w:type="dxa"/>
            <w:shd w:val="clear" w:color="auto" w:fill="auto"/>
            <w:vAlign w:val="center"/>
          </w:tcPr>
          <w:p w14:paraId="3BF5D0E1">
            <w:pPr>
              <w:widowControl/>
              <w:jc w:val="left"/>
              <w:rPr>
                <w:rFonts w:hint="eastAsia" w:ascii="宋体" w:hAnsi="宋体" w:cs="宋体"/>
                <w:kern w:val="0"/>
                <w:sz w:val="21"/>
                <w:szCs w:val="21"/>
              </w:rPr>
            </w:pPr>
            <w:r>
              <w:rPr>
                <w:rFonts w:hint="eastAsia" w:ascii="宋体" w:hAnsi="宋体" w:cs="宋体"/>
                <w:kern w:val="0"/>
                <w:sz w:val="21"/>
                <w:szCs w:val="21"/>
              </w:rPr>
              <w:t>产品支持基于IMAP、FTP、TELNET、ORACLE、MYSQL、MSSQL等应用协议进行深度检测与防护。</w:t>
            </w:r>
          </w:p>
        </w:tc>
      </w:tr>
      <w:tr w14:paraId="467D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4FB673B">
            <w:pPr>
              <w:widowControl/>
              <w:jc w:val="left"/>
              <w:rPr>
                <w:rFonts w:hint="eastAsia" w:ascii="宋体" w:hAnsi="宋体" w:cs="宋体"/>
                <w:color w:val="000000"/>
                <w:kern w:val="0"/>
                <w:sz w:val="21"/>
                <w:szCs w:val="21"/>
              </w:rPr>
            </w:pPr>
          </w:p>
        </w:tc>
        <w:tc>
          <w:tcPr>
            <w:tcW w:w="1040" w:type="dxa"/>
            <w:vMerge w:val="continue"/>
            <w:vAlign w:val="center"/>
          </w:tcPr>
          <w:p w14:paraId="5BB40425">
            <w:pPr>
              <w:widowControl/>
              <w:jc w:val="left"/>
              <w:rPr>
                <w:rFonts w:hint="eastAsia" w:ascii="宋体" w:hAnsi="宋体" w:cs="宋体"/>
                <w:kern w:val="0"/>
                <w:sz w:val="21"/>
                <w:szCs w:val="21"/>
              </w:rPr>
            </w:pPr>
          </w:p>
        </w:tc>
        <w:tc>
          <w:tcPr>
            <w:tcW w:w="1400" w:type="dxa"/>
            <w:vMerge w:val="restart"/>
            <w:shd w:val="clear" w:color="auto" w:fill="auto"/>
            <w:vAlign w:val="center"/>
          </w:tcPr>
          <w:p w14:paraId="240FE4BF">
            <w:pPr>
              <w:widowControl/>
              <w:jc w:val="left"/>
              <w:rPr>
                <w:rFonts w:hint="eastAsia" w:ascii="宋体" w:hAnsi="宋体" w:cs="宋体"/>
                <w:kern w:val="0"/>
                <w:sz w:val="21"/>
                <w:szCs w:val="21"/>
              </w:rPr>
            </w:pPr>
            <w:r>
              <w:rPr>
                <w:rFonts w:hint="eastAsia" w:ascii="宋体" w:hAnsi="宋体" w:cs="宋体"/>
                <w:kern w:val="0"/>
                <w:sz w:val="21"/>
                <w:szCs w:val="21"/>
              </w:rPr>
              <w:t>DDoS防护</w:t>
            </w:r>
          </w:p>
        </w:tc>
        <w:tc>
          <w:tcPr>
            <w:tcW w:w="5160" w:type="dxa"/>
            <w:shd w:val="clear" w:color="auto" w:fill="auto"/>
            <w:vAlign w:val="center"/>
          </w:tcPr>
          <w:p w14:paraId="10C73D0B">
            <w:pPr>
              <w:widowControl/>
              <w:jc w:val="left"/>
              <w:rPr>
                <w:rFonts w:hint="eastAsia" w:ascii="宋体" w:hAnsi="宋体" w:cs="宋体"/>
                <w:kern w:val="0"/>
                <w:sz w:val="21"/>
                <w:szCs w:val="21"/>
              </w:rPr>
            </w:pPr>
            <w:r>
              <w:rPr>
                <w:rFonts w:hint="eastAsia" w:ascii="宋体" w:hAnsi="宋体" w:cs="宋体"/>
                <w:kern w:val="0"/>
                <w:sz w:val="21"/>
                <w:szCs w:val="21"/>
              </w:rPr>
              <w:t>产品支持对ICMP、UDP、DNS、SYN等协议进行DDOS防护。</w:t>
            </w:r>
          </w:p>
        </w:tc>
      </w:tr>
      <w:tr w14:paraId="3BAB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5B30A907">
            <w:pPr>
              <w:widowControl/>
              <w:jc w:val="left"/>
              <w:rPr>
                <w:rFonts w:hint="eastAsia" w:ascii="宋体" w:hAnsi="宋体" w:cs="宋体"/>
                <w:color w:val="000000"/>
                <w:kern w:val="0"/>
                <w:sz w:val="21"/>
                <w:szCs w:val="21"/>
              </w:rPr>
            </w:pPr>
          </w:p>
        </w:tc>
        <w:tc>
          <w:tcPr>
            <w:tcW w:w="1040" w:type="dxa"/>
            <w:vMerge w:val="continue"/>
            <w:vAlign w:val="center"/>
          </w:tcPr>
          <w:p w14:paraId="74D161EF">
            <w:pPr>
              <w:widowControl/>
              <w:jc w:val="left"/>
              <w:rPr>
                <w:rFonts w:hint="eastAsia" w:ascii="宋体" w:hAnsi="宋体" w:cs="宋体"/>
                <w:kern w:val="0"/>
                <w:sz w:val="21"/>
                <w:szCs w:val="21"/>
              </w:rPr>
            </w:pPr>
          </w:p>
        </w:tc>
        <w:tc>
          <w:tcPr>
            <w:tcW w:w="1400" w:type="dxa"/>
            <w:vMerge w:val="continue"/>
            <w:vAlign w:val="center"/>
          </w:tcPr>
          <w:p w14:paraId="1FA6F959">
            <w:pPr>
              <w:widowControl/>
              <w:jc w:val="left"/>
              <w:rPr>
                <w:rFonts w:hint="eastAsia" w:ascii="宋体" w:hAnsi="宋体" w:cs="宋体"/>
                <w:kern w:val="0"/>
                <w:sz w:val="21"/>
                <w:szCs w:val="21"/>
              </w:rPr>
            </w:pPr>
          </w:p>
        </w:tc>
        <w:tc>
          <w:tcPr>
            <w:tcW w:w="5160" w:type="dxa"/>
            <w:shd w:val="clear" w:color="auto" w:fill="auto"/>
            <w:vAlign w:val="center"/>
          </w:tcPr>
          <w:p w14:paraId="63B897FB">
            <w:pPr>
              <w:widowControl/>
              <w:jc w:val="left"/>
              <w:rPr>
                <w:rFonts w:hint="eastAsia" w:ascii="宋体" w:hAnsi="宋体" w:cs="宋体"/>
                <w:kern w:val="0"/>
                <w:sz w:val="21"/>
                <w:szCs w:val="21"/>
              </w:rPr>
            </w:pPr>
            <w:r>
              <w:rPr>
                <w:rFonts w:hint="eastAsia" w:ascii="宋体" w:hAnsi="宋体" w:cs="宋体"/>
                <w:kern w:val="0"/>
                <w:sz w:val="21"/>
                <w:szCs w:val="21"/>
              </w:rPr>
              <w:t>产品支持异常数据包攻击防御，防护类型包括IP数据块分片传输防护、Teardrop攻击防护、Smurf攻击防护、Land攻击防护、WinNuke攻击防护等攻击类型。</w:t>
            </w:r>
          </w:p>
        </w:tc>
      </w:tr>
      <w:tr w14:paraId="30A9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820" w:type="dxa"/>
            <w:vMerge w:val="continue"/>
            <w:vAlign w:val="center"/>
          </w:tcPr>
          <w:p w14:paraId="3B2AEBAA">
            <w:pPr>
              <w:widowControl/>
              <w:jc w:val="left"/>
              <w:rPr>
                <w:rFonts w:hint="eastAsia" w:ascii="宋体" w:hAnsi="宋体" w:cs="宋体"/>
                <w:color w:val="000000"/>
                <w:kern w:val="0"/>
                <w:sz w:val="21"/>
                <w:szCs w:val="21"/>
              </w:rPr>
            </w:pPr>
          </w:p>
        </w:tc>
        <w:tc>
          <w:tcPr>
            <w:tcW w:w="1040" w:type="dxa"/>
            <w:vMerge w:val="continue"/>
            <w:vAlign w:val="center"/>
          </w:tcPr>
          <w:p w14:paraId="789FB1C5">
            <w:pPr>
              <w:widowControl/>
              <w:jc w:val="left"/>
              <w:rPr>
                <w:rFonts w:hint="eastAsia" w:ascii="宋体" w:hAnsi="宋体" w:cs="宋体"/>
                <w:kern w:val="0"/>
                <w:sz w:val="21"/>
                <w:szCs w:val="21"/>
              </w:rPr>
            </w:pPr>
          </w:p>
        </w:tc>
        <w:tc>
          <w:tcPr>
            <w:tcW w:w="1400" w:type="dxa"/>
            <w:shd w:val="clear" w:color="auto" w:fill="auto"/>
            <w:vAlign w:val="bottom"/>
          </w:tcPr>
          <w:p w14:paraId="2173CAA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架构要求</w:t>
            </w:r>
          </w:p>
        </w:tc>
        <w:tc>
          <w:tcPr>
            <w:tcW w:w="5160" w:type="dxa"/>
            <w:shd w:val="clear" w:color="auto" w:fill="auto"/>
            <w:vAlign w:val="bottom"/>
          </w:tcPr>
          <w:p w14:paraId="72332F47">
            <w:pPr>
              <w:widowControl/>
              <w:jc w:val="left"/>
              <w:rPr>
                <w:rFonts w:hint="eastAsia" w:ascii="宋体" w:hAnsi="宋体" w:cs="宋体"/>
                <w:kern w:val="0"/>
                <w:sz w:val="21"/>
                <w:szCs w:val="21"/>
              </w:rPr>
            </w:pPr>
            <w:r>
              <w:rPr>
                <w:rFonts w:hint="eastAsia" w:ascii="宋体" w:hAnsi="宋体" w:cs="宋体"/>
                <w:kern w:val="0"/>
                <w:sz w:val="21"/>
                <w:szCs w:val="21"/>
              </w:rPr>
              <w:t>为保证产品自主及性能要求，产品需采用自主知识产权的”高性能多核并行安全操作系统‘，需提供国家版权局出具关于“多核并行安全操作系统”的软件著作权证书。</w:t>
            </w:r>
          </w:p>
        </w:tc>
      </w:tr>
      <w:tr w14:paraId="0044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88DD596">
            <w:pPr>
              <w:widowControl/>
              <w:jc w:val="left"/>
              <w:rPr>
                <w:rFonts w:hint="eastAsia" w:ascii="宋体" w:hAnsi="宋体" w:cs="宋体"/>
                <w:color w:val="000000"/>
                <w:kern w:val="0"/>
                <w:sz w:val="21"/>
                <w:szCs w:val="21"/>
              </w:rPr>
            </w:pPr>
          </w:p>
        </w:tc>
        <w:tc>
          <w:tcPr>
            <w:tcW w:w="1040" w:type="dxa"/>
            <w:vMerge w:val="continue"/>
            <w:vAlign w:val="center"/>
          </w:tcPr>
          <w:p w14:paraId="7447D89F">
            <w:pPr>
              <w:widowControl/>
              <w:jc w:val="left"/>
              <w:rPr>
                <w:rFonts w:hint="eastAsia" w:ascii="宋体" w:hAnsi="宋体" w:cs="宋体"/>
                <w:kern w:val="0"/>
                <w:sz w:val="21"/>
                <w:szCs w:val="21"/>
              </w:rPr>
            </w:pPr>
          </w:p>
        </w:tc>
        <w:tc>
          <w:tcPr>
            <w:tcW w:w="1400" w:type="dxa"/>
            <w:shd w:val="clear" w:color="auto" w:fill="auto"/>
            <w:vAlign w:val="center"/>
          </w:tcPr>
          <w:p w14:paraId="034E32CB">
            <w:pPr>
              <w:widowControl/>
              <w:jc w:val="left"/>
              <w:rPr>
                <w:rFonts w:hint="eastAsia" w:ascii="宋体" w:hAnsi="宋体" w:cs="宋体"/>
                <w:kern w:val="0"/>
                <w:sz w:val="21"/>
                <w:szCs w:val="21"/>
              </w:rPr>
            </w:pPr>
            <w:r>
              <w:rPr>
                <w:rFonts w:hint="eastAsia" w:ascii="宋体" w:hAnsi="宋体" w:cs="宋体"/>
                <w:kern w:val="0"/>
                <w:sz w:val="21"/>
                <w:szCs w:val="21"/>
              </w:rPr>
              <w:t>特征库升级</w:t>
            </w:r>
          </w:p>
        </w:tc>
        <w:tc>
          <w:tcPr>
            <w:tcW w:w="5160" w:type="dxa"/>
            <w:shd w:val="clear" w:color="auto" w:fill="auto"/>
            <w:vAlign w:val="center"/>
          </w:tcPr>
          <w:p w14:paraId="69FF3FEE">
            <w:pPr>
              <w:widowControl/>
              <w:jc w:val="left"/>
              <w:rPr>
                <w:rFonts w:hint="eastAsia" w:ascii="宋体" w:hAnsi="宋体" w:cs="宋体"/>
                <w:kern w:val="0"/>
                <w:sz w:val="21"/>
                <w:szCs w:val="21"/>
              </w:rPr>
            </w:pPr>
            <w:r>
              <w:rPr>
                <w:rFonts w:hint="eastAsia" w:ascii="宋体" w:hAnsi="宋体" w:cs="宋体"/>
                <w:kern w:val="0"/>
                <w:sz w:val="21"/>
                <w:szCs w:val="21"/>
              </w:rPr>
              <w:t>防病毒、入侵攻击防御功能5年授权及升级服务</w:t>
            </w:r>
          </w:p>
        </w:tc>
      </w:tr>
      <w:tr w14:paraId="7181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dxa"/>
            <w:vMerge w:val="continue"/>
            <w:vAlign w:val="center"/>
          </w:tcPr>
          <w:p w14:paraId="5CBFEC30">
            <w:pPr>
              <w:widowControl/>
              <w:jc w:val="left"/>
              <w:rPr>
                <w:rFonts w:hint="eastAsia" w:ascii="宋体" w:hAnsi="宋体" w:cs="宋体"/>
                <w:color w:val="000000"/>
                <w:kern w:val="0"/>
                <w:sz w:val="21"/>
                <w:szCs w:val="21"/>
              </w:rPr>
            </w:pPr>
          </w:p>
        </w:tc>
        <w:tc>
          <w:tcPr>
            <w:tcW w:w="1040" w:type="dxa"/>
            <w:vMerge w:val="continue"/>
            <w:vAlign w:val="center"/>
          </w:tcPr>
          <w:p w14:paraId="49D4D0DE">
            <w:pPr>
              <w:widowControl/>
              <w:jc w:val="left"/>
              <w:rPr>
                <w:rFonts w:hint="eastAsia" w:ascii="宋体" w:hAnsi="宋体" w:cs="宋体"/>
                <w:kern w:val="0"/>
                <w:sz w:val="21"/>
                <w:szCs w:val="21"/>
              </w:rPr>
            </w:pPr>
          </w:p>
        </w:tc>
        <w:tc>
          <w:tcPr>
            <w:tcW w:w="1400" w:type="dxa"/>
            <w:vMerge w:val="restart"/>
            <w:shd w:val="clear" w:color="auto" w:fill="auto"/>
            <w:vAlign w:val="center"/>
          </w:tcPr>
          <w:p w14:paraId="045DBE4D">
            <w:pPr>
              <w:widowControl/>
              <w:jc w:val="center"/>
              <w:rPr>
                <w:rFonts w:hint="eastAsia" w:ascii="宋体" w:hAnsi="宋体" w:cs="宋体"/>
                <w:kern w:val="0"/>
                <w:sz w:val="21"/>
                <w:szCs w:val="21"/>
              </w:rPr>
            </w:pPr>
            <w:r>
              <w:rPr>
                <w:rFonts w:hint="eastAsia" w:ascii="宋体" w:hAnsi="宋体" w:cs="宋体"/>
                <w:kern w:val="0"/>
                <w:sz w:val="21"/>
                <w:szCs w:val="21"/>
              </w:rPr>
              <w:t>防病毒</w:t>
            </w:r>
          </w:p>
        </w:tc>
        <w:tc>
          <w:tcPr>
            <w:tcW w:w="5160" w:type="dxa"/>
            <w:shd w:val="clear" w:color="auto" w:fill="auto"/>
            <w:vAlign w:val="center"/>
          </w:tcPr>
          <w:p w14:paraId="1B5A47CC">
            <w:pPr>
              <w:widowControl/>
              <w:jc w:val="left"/>
              <w:rPr>
                <w:rFonts w:hint="eastAsia" w:ascii="宋体" w:hAnsi="宋体" w:cs="宋体"/>
                <w:kern w:val="0"/>
                <w:sz w:val="21"/>
                <w:szCs w:val="21"/>
              </w:rPr>
            </w:pPr>
            <w:r>
              <w:rPr>
                <w:rFonts w:hint="eastAsia" w:ascii="宋体" w:hAnsi="宋体" w:cs="宋体"/>
                <w:kern w:val="0"/>
                <w:sz w:val="21"/>
                <w:szCs w:val="21"/>
              </w:rPr>
              <w:t>产品支持对SMTP、HTTP、FTP、SMB、POP3、IMAP等协议进行病毒防御。</w:t>
            </w:r>
          </w:p>
        </w:tc>
      </w:tr>
      <w:tr w14:paraId="44E9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14066D4">
            <w:pPr>
              <w:widowControl/>
              <w:jc w:val="left"/>
              <w:rPr>
                <w:rFonts w:hint="eastAsia" w:ascii="宋体" w:hAnsi="宋体" w:cs="宋体"/>
                <w:color w:val="000000"/>
                <w:kern w:val="0"/>
                <w:sz w:val="21"/>
                <w:szCs w:val="21"/>
              </w:rPr>
            </w:pPr>
          </w:p>
        </w:tc>
        <w:tc>
          <w:tcPr>
            <w:tcW w:w="1040" w:type="dxa"/>
            <w:vMerge w:val="continue"/>
            <w:vAlign w:val="center"/>
          </w:tcPr>
          <w:p w14:paraId="1EB590AF">
            <w:pPr>
              <w:widowControl/>
              <w:jc w:val="left"/>
              <w:rPr>
                <w:rFonts w:hint="eastAsia" w:ascii="宋体" w:hAnsi="宋体" w:cs="宋体"/>
                <w:kern w:val="0"/>
                <w:sz w:val="21"/>
                <w:szCs w:val="21"/>
              </w:rPr>
            </w:pPr>
          </w:p>
        </w:tc>
        <w:tc>
          <w:tcPr>
            <w:tcW w:w="1400" w:type="dxa"/>
            <w:vMerge w:val="continue"/>
            <w:vAlign w:val="center"/>
          </w:tcPr>
          <w:p w14:paraId="367C4FDC">
            <w:pPr>
              <w:widowControl/>
              <w:jc w:val="left"/>
              <w:rPr>
                <w:rFonts w:hint="eastAsia" w:ascii="宋体" w:hAnsi="宋体" w:cs="宋体"/>
                <w:kern w:val="0"/>
                <w:sz w:val="21"/>
                <w:szCs w:val="21"/>
              </w:rPr>
            </w:pPr>
          </w:p>
        </w:tc>
        <w:tc>
          <w:tcPr>
            <w:tcW w:w="5160" w:type="dxa"/>
            <w:shd w:val="clear" w:color="auto" w:fill="auto"/>
            <w:vAlign w:val="center"/>
          </w:tcPr>
          <w:p w14:paraId="5A10786F">
            <w:pPr>
              <w:widowControl/>
              <w:jc w:val="left"/>
              <w:rPr>
                <w:rFonts w:hint="eastAsia" w:ascii="宋体" w:hAnsi="宋体" w:cs="宋体"/>
                <w:kern w:val="0"/>
                <w:sz w:val="21"/>
                <w:szCs w:val="21"/>
              </w:rPr>
            </w:pPr>
            <w:r>
              <w:rPr>
                <w:rFonts w:hint="eastAsia" w:ascii="宋体" w:hAnsi="宋体" w:cs="宋体"/>
                <w:kern w:val="0"/>
                <w:sz w:val="21"/>
                <w:szCs w:val="21"/>
              </w:rPr>
              <w:t>产品支持杀毒白名单设置，可以例外排除特定MD5和URL的病毒文件，针对特定文件不进行查杀。</w:t>
            </w:r>
          </w:p>
        </w:tc>
      </w:tr>
    </w:tbl>
    <w:p w14:paraId="3F1025E7">
      <w:pPr>
        <w:pStyle w:val="2"/>
        <w:ind w:left="0" w:leftChars="0" w:firstLine="0" w:firstLineChars="0"/>
      </w:pPr>
    </w:p>
    <w:p w14:paraId="698AD6FF">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3.4.2 互联网区负载均衡共4台</w:t>
      </w:r>
    </w:p>
    <w:tbl>
      <w:tblPr>
        <w:tblStyle w:val="19"/>
        <w:tblW w:w="888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400"/>
        <w:gridCol w:w="5620"/>
      </w:tblGrid>
      <w:tr w14:paraId="0513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20" w:type="dxa"/>
            <w:shd w:val="clear" w:color="auto" w:fill="auto"/>
            <w:vAlign w:val="bottom"/>
          </w:tcPr>
          <w:p w14:paraId="0E66EACD">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项目名称</w:t>
            </w:r>
          </w:p>
        </w:tc>
        <w:tc>
          <w:tcPr>
            <w:tcW w:w="1040" w:type="dxa"/>
            <w:shd w:val="clear" w:color="auto" w:fill="auto"/>
            <w:vAlign w:val="center"/>
          </w:tcPr>
          <w:p w14:paraId="1D4A7F1C">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类别</w:t>
            </w:r>
          </w:p>
        </w:tc>
        <w:tc>
          <w:tcPr>
            <w:tcW w:w="1400" w:type="dxa"/>
            <w:shd w:val="clear" w:color="auto" w:fill="auto"/>
            <w:vAlign w:val="center"/>
          </w:tcPr>
          <w:p w14:paraId="4DFB1755">
            <w:pPr>
              <w:widowControl/>
              <w:jc w:val="left"/>
              <w:rPr>
                <w:rFonts w:hint="eastAsia" w:ascii="宋体" w:hAnsi="宋体" w:cs="宋体"/>
                <w:b/>
                <w:bCs/>
                <w:kern w:val="0"/>
                <w:sz w:val="21"/>
                <w:szCs w:val="21"/>
              </w:rPr>
            </w:pPr>
            <w:r>
              <w:rPr>
                <w:rFonts w:hint="eastAsia" w:ascii="宋体" w:hAnsi="宋体" w:cs="宋体"/>
                <w:b/>
                <w:bCs/>
                <w:kern w:val="0"/>
                <w:sz w:val="21"/>
                <w:szCs w:val="21"/>
              </w:rPr>
              <w:t>要求项</w:t>
            </w:r>
          </w:p>
        </w:tc>
        <w:tc>
          <w:tcPr>
            <w:tcW w:w="5620" w:type="dxa"/>
            <w:shd w:val="clear" w:color="000000" w:fill="FFFFFF"/>
            <w:vAlign w:val="center"/>
          </w:tcPr>
          <w:p w14:paraId="34BB00A1">
            <w:pPr>
              <w:widowControl/>
              <w:jc w:val="center"/>
              <w:rPr>
                <w:rFonts w:hint="eastAsia" w:ascii="宋体" w:hAnsi="宋体" w:cs="宋体"/>
                <w:b/>
                <w:bCs/>
                <w:kern w:val="0"/>
                <w:sz w:val="21"/>
                <w:szCs w:val="21"/>
              </w:rPr>
            </w:pPr>
            <w:r>
              <w:rPr>
                <w:rFonts w:hint="eastAsia" w:ascii="宋体" w:hAnsi="宋体" w:cs="宋体"/>
                <w:b/>
                <w:bCs/>
                <w:kern w:val="0"/>
                <w:sz w:val="21"/>
                <w:szCs w:val="21"/>
              </w:rPr>
              <w:t>要求明细</w:t>
            </w:r>
          </w:p>
        </w:tc>
      </w:tr>
      <w:tr w14:paraId="1833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6A157E95">
            <w:pPr>
              <w:widowControl/>
              <w:jc w:val="center"/>
              <w:rPr>
                <w:rFonts w:hint="eastAsia" w:ascii="宋体" w:hAnsi="宋体" w:cs="宋体"/>
                <w:kern w:val="0"/>
                <w:sz w:val="21"/>
                <w:szCs w:val="21"/>
              </w:rPr>
            </w:pPr>
            <w:r>
              <w:rPr>
                <w:rFonts w:hint="eastAsia" w:ascii="宋体" w:hAnsi="宋体" w:cs="宋体"/>
                <w:kern w:val="0"/>
                <w:sz w:val="21"/>
                <w:szCs w:val="21"/>
              </w:rPr>
              <w:t>IDC网络设备升级项目三期</w:t>
            </w:r>
          </w:p>
        </w:tc>
        <w:tc>
          <w:tcPr>
            <w:tcW w:w="1040" w:type="dxa"/>
            <w:vMerge w:val="restart"/>
            <w:shd w:val="clear" w:color="auto" w:fill="auto"/>
            <w:vAlign w:val="center"/>
          </w:tcPr>
          <w:p w14:paraId="55A60C8B">
            <w:pPr>
              <w:widowControl/>
              <w:jc w:val="center"/>
              <w:rPr>
                <w:rFonts w:hint="eastAsia" w:ascii="宋体" w:hAnsi="宋体" w:cs="宋体"/>
                <w:kern w:val="0"/>
                <w:sz w:val="21"/>
                <w:szCs w:val="21"/>
              </w:rPr>
            </w:pPr>
            <w:r>
              <w:rPr>
                <w:rFonts w:hint="eastAsia" w:ascii="宋体" w:hAnsi="宋体" w:cs="宋体"/>
                <w:kern w:val="0"/>
                <w:sz w:val="21"/>
                <w:szCs w:val="21"/>
              </w:rPr>
              <w:t>★基础要求</w:t>
            </w:r>
          </w:p>
        </w:tc>
        <w:tc>
          <w:tcPr>
            <w:tcW w:w="1400" w:type="dxa"/>
            <w:shd w:val="clear" w:color="auto" w:fill="auto"/>
            <w:vAlign w:val="center"/>
          </w:tcPr>
          <w:p w14:paraId="5E3C1858">
            <w:pPr>
              <w:widowControl/>
              <w:jc w:val="left"/>
              <w:rPr>
                <w:rFonts w:hint="eastAsia" w:ascii="宋体" w:hAnsi="宋体" w:cs="宋体"/>
                <w:kern w:val="0"/>
                <w:sz w:val="21"/>
                <w:szCs w:val="21"/>
              </w:rPr>
            </w:pPr>
            <w:r>
              <w:rPr>
                <w:rFonts w:hint="eastAsia" w:ascii="宋体" w:hAnsi="宋体" w:cs="宋体"/>
                <w:kern w:val="0"/>
                <w:sz w:val="21"/>
                <w:szCs w:val="21"/>
              </w:rPr>
              <w:t>产品类型</w:t>
            </w:r>
          </w:p>
        </w:tc>
        <w:tc>
          <w:tcPr>
            <w:tcW w:w="5620" w:type="dxa"/>
            <w:shd w:val="clear" w:color="000000" w:fill="FFFFFF"/>
            <w:vAlign w:val="bottom"/>
          </w:tcPr>
          <w:p w14:paraId="427EDEBB">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6180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B0D3533">
            <w:pPr>
              <w:widowControl/>
              <w:jc w:val="left"/>
              <w:rPr>
                <w:rFonts w:hint="eastAsia" w:ascii="宋体" w:hAnsi="宋体" w:cs="宋体"/>
                <w:kern w:val="0"/>
                <w:sz w:val="21"/>
                <w:szCs w:val="21"/>
              </w:rPr>
            </w:pPr>
          </w:p>
        </w:tc>
        <w:tc>
          <w:tcPr>
            <w:tcW w:w="1040" w:type="dxa"/>
            <w:vMerge w:val="continue"/>
            <w:vAlign w:val="center"/>
          </w:tcPr>
          <w:p w14:paraId="14BEAAEA">
            <w:pPr>
              <w:widowControl/>
              <w:jc w:val="left"/>
              <w:rPr>
                <w:rFonts w:hint="eastAsia" w:ascii="宋体" w:hAnsi="宋体" w:cs="宋体"/>
                <w:kern w:val="0"/>
                <w:sz w:val="21"/>
                <w:szCs w:val="21"/>
              </w:rPr>
            </w:pPr>
          </w:p>
        </w:tc>
        <w:tc>
          <w:tcPr>
            <w:tcW w:w="1400" w:type="dxa"/>
            <w:shd w:val="clear" w:color="auto" w:fill="auto"/>
            <w:vAlign w:val="center"/>
          </w:tcPr>
          <w:p w14:paraId="71AF8E20">
            <w:pPr>
              <w:widowControl/>
              <w:jc w:val="left"/>
              <w:rPr>
                <w:rFonts w:hint="eastAsia" w:ascii="宋体" w:hAnsi="宋体" w:cs="宋体"/>
                <w:kern w:val="0"/>
                <w:sz w:val="21"/>
                <w:szCs w:val="21"/>
              </w:rPr>
            </w:pPr>
            <w:r>
              <w:rPr>
                <w:rFonts w:hint="eastAsia" w:ascii="宋体" w:hAnsi="宋体" w:cs="宋体"/>
                <w:kern w:val="0"/>
                <w:sz w:val="21"/>
                <w:szCs w:val="21"/>
              </w:rPr>
              <w:t>案例要求</w:t>
            </w:r>
          </w:p>
        </w:tc>
        <w:tc>
          <w:tcPr>
            <w:tcW w:w="5620" w:type="dxa"/>
            <w:shd w:val="clear" w:color="000000" w:fill="FFFFFF"/>
            <w:vAlign w:val="bottom"/>
          </w:tcPr>
          <w:p w14:paraId="76EC4786">
            <w:pPr>
              <w:widowControl/>
              <w:jc w:val="left"/>
              <w:rPr>
                <w:rFonts w:hint="eastAsia" w:ascii="宋体" w:hAnsi="宋体" w:cs="宋体"/>
                <w:kern w:val="0"/>
                <w:sz w:val="21"/>
                <w:szCs w:val="21"/>
              </w:rPr>
            </w:pPr>
            <w:r>
              <w:rPr>
                <w:rFonts w:hint="eastAsia" w:ascii="宋体" w:hAnsi="宋体" w:cs="宋体"/>
                <w:kern w:val="0"/>
                <w:sz w:val="21"/>
                <w:szCs w:val="21"/>
              </w:rPr>
              <w:t>提供所投型号系列在证券行业的案例（提供证明材料）</w:t>
            </w:r>
          </w:p>
        </w:tc>
      </w:tr>
      <w:tr w14:paraId="60B6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847B0C8">
            <w:pPr>
              <w:widowControl/>
              <w:jc w:val="left"/>
              <w:rPr>
                <w:rFonts w:hint="eastAsia" w:ascii="宋体" w:hAnsi="宋体" w:cs="宋体"/>
                <w:kern w:val="0"/>
                <w:sz w:val="21"/>
                <w:szCs w:val="21"/>
              </w:rPr>
            </w:pPr>
          </w:p>
        </w:tc>
        <w:tc>
          <w:tcPr>
            <w:tcW w:w="1040" w:type="dxa"/>
            <w:vMerge w:val="continue"/>
            <w:vAlign w:val="center"/>
          </w:tcPr>
          <w:p w14:paraId="6155AD70">
            <w:pPr>
              <w:widowControl/>
              <w:jc w:val="left"/>
              <w:rPr>
                <w:rFonts w:hint="eastAsia" w:ascii="宋体" w:hAnsi="宋体" w:cs="宋体"/>
                <w:kern w:val="0"/>
                <w:sz w:val="21"/>
                <w:szCs w:val="21"/>
              </w:rPr>
            </w:pPr>
          </w:p>
        </w:tc>
        <w:tc>
          <w:tcPr>
            <w:tcW w:w="1400" w:type="dxa"/>
            <w:shd w:val="clear" w:color="auto" w:fill="auto"/>
            <w:vAlign w:val="center"/>
          </w:tcPr>
          <w:p w14:paraId="2EEB9827">
            <w:pPr>
              <w:widowControl/>
              <w:jc w:val="left"/>
              <w:rPr>
                <w:rFonts w:hint="eastAsia" w:ascii="宋体" w:hAnsi="宋体" w:cs="宋体"/>
                <w:kern w:val="0"/>
                <w:sz w:val="21"/>
                <w:szCs w:val="21"/>
              </w:rPr>
            </w:pPr>
            <w:r>
              <w:rPr>
                <w:rFonts w:hint="eastAsia" w:ascii="宋体" w:hAnsi="宋体" w:cs="宋体"/>
                <w:kern w:val="0"/>
                <w:sz w:val="21"/>
                <w:szCs w:val="21"/>
              </w:rPr>
              <w:t>品牌要求</w:t>
            </w:r>
          </w:p>
        </w:tc>
        <w:tc>
          <w:tcPr>
            <w:tcW w:w="5620" w:type="dxa"/>
            <w:shd w:val="clear" w:color="auto" w:fill="auto"/>
            <w:vAlign w:val="bottom"/>
          </w:tcPr>
          <w:p w14:paraId="1F38CA51">
            <w:pPr>
              <w:widowControl/>
              <w:jc w:val="left"/>
              <w:rPr>
                <w:rFonts w:hint="eastAsia" w:ascii="宋体" w:hAnsi="宋体" w:cs="宋体"/>
                <w:kern w:val="0"/>
                <w:sz w:val="21"/>
                <w:szCs w:val="21"/>
              </w:rPr>
            </w:pPr>
            <w:r>
              <w:rPr>
                <w:rFonts w:hint="eastAsia" w:ascii="宋体" w:hAnsi="宋体" w:cs="宋体"/>
                <w:kern w:val="0"/>
                <w:sz w:val="21"/>
                <w:szCs w:val="21"/>
              </w:rPr>
              <w:t>和互联网区外部防火墙为同一品牌</w:t>
            </w:r>
          </w:p>
        </w:tc>
      </w:tr>
      <w:tr w14:paraId="4244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496CCAB2">
            <w:pPr>
              <w:widowControl/>
              <w:jc w:val="left"/>
              <w:rPr>
                <w:rFonts w:hint="eastAsia" w:ascii="宋体" w:hAnsi="宋体" w:cs="宋体"/>
                <w:kern w:val="0"/>
                <w:sz w:val="21"/>
                <w:szCs w:val="21"/>
              </w:rPr>
            </w:pPr>
          </w:p>
        </w:tc>
        <w:tc>
          <w:tcPr>
            <w:tcW w:w="1040" w:type="dxa"/>
            <w:vMerge w:val="continue"/>
            <w:vAlign w:val="center"/>
          </w:tcPr>
          <w:p w14:paraId="6DA8D7DE">
            <w:pPr>
              <w:widowControl/>
              <w:jc w:val="left"/>
              <w:rPr>
                <w:rFonts w:hint="eastAsia" w:ascii="宋体" w:hAnsi="宋体" w:cs="宋体"/>
                <w:kern w:val="0"/>
                <w:sz w:val="21"/>
                <w:szCs w:val="21"/>
              </w:rPr>
            </w:pPr>
          </w:p>
        </w:tc>
        <w:tc>
          <w:tcPr>
            <w:tcW w:w="1400" w:type="dxa"/>
            <w:shd w:val="clear" w:color="auto" w:fill="auto"/>
            <w:vAlign w:val="center"/>
          </w:tcPr>
          <w:p w14:paraId="016E4B40">
            <w:pPr>
              <w:widowControl/>
              <w:jc w:val="left"/>
              <w:rPr>
                <w:rFonts w:hint="eastAsia" w:ascii="宋体" w:hAnsi="宋体" w:cs="宋体"/>
                <w:kern w:val="0"/>
                <w:sz w:val="21"/>
                <w:szCs w:val="21"/>
              </w:rPr>
            </w:pPr>
            <w:r>
              <w:rPr>
                <w:rFonts w:hint="eastAsia" w:ascii="宋体" w:hAnsi="宋体" w:cs="宋体"/>
                <w:kern w:val="0"/>
                <w:sz w:val="21"/>
                <w:szCs w:val="21"/>
              </w:rPr>
              <w:t>性能参数</w:t>
            </w:r>
          </w:p>
        </w:tc>
        <w:tc>
          <w:tcPr>
            <w:tcW w:w="5620" w:type="dxa"/>
            <w:shd w:val="clear" w:color="000000" w:fill="FFFFFF"/>
            <w:vAlign w:val="center"/>
          </w:tcPr>
          <w:p w14:paraId="7F49836E">
            <w:pPr>
              <w:widowControl/>
              <w:jc w:val="left"/>
              <w:rPr>
                <w:rFonts w:hint="eastAsia" w:ascii="宋体" w:hAnsi="宋体" w:cs="宋体"/>
                <w:kern w:val="0"/>
                <w:sz w:val="21"/>
                <w:szCs w:val="21"/>
              </w:rPr>
            </w:pPr>
            <w:r>
              <w:rPr>
                <w:rFonts w:hint="eastAsia" w:ascii="宋体" w:hAnsi="宋体" w:cs="宋体"/>
                <w:kern w:val="0"/>
                <w:sz w:val="21"/>
                <w:szCs w:val="21"/>
              </w:rPr>
              <w:t>4层吞吐量 （默认网口）≥20G；4层并发连接数≥2000W；4层新建连接数 CPS≥25W；7层新建连接数 RPS≥30W；</w:t>
            </w:r>
          </w:p>
        </w:tc>
      </w:tr>
      <w:tr w14:paraId="397F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5EB4EA3">
            <w:pPr>
              <w:widowControl/>
              <w:jc w:val="left"/>
              <w:rPr>
                <w:rFonts w:hint="eastAsia" w:ascii="宋体" w:hAnsi="宋体" w:cs="宋体"/>
                <w:kern w:val="0"/>
                <w:sz w:val="21"/>
                <w:szCs w:val="21"/>
              </w:rPr>
            </w:pPr>
          </w:p>
        </w:tc>
        <w:tc>
          <w:tcPr>
            <w:tcW w:w="1040" w:type="dxa"/>
            <w:vMerge w:val="continue"/>
            <w:vAlign w:val="center"/>
          </w:tcPr>
          <w:p w14:paraId="6F349748">
            <w:pPr>
              <w:widowControl/>
              <w:jc w:val="left"/>
              <w:rPr>
                <w:rFonts w:hint="eastAsia" w:ascii="宋体" w:hAnsi="宋体" w:cs="宋体"/>
                <w:kern w:val="0"/>
                <w:sz w:val="21"/>
                <w:szCs w:val="21"/>
              </w:rPr>
            </w:pPr>
          </w:p>
        </w:tc>
        <w:tc>
          <w:tcPr>
            <w:tcW w:w="1400" w:type="dxa"/>
            <w:shd w:val="clear" w:color="auto" w:fill="auto"/>
            <w:vAlign w:val="center"/>
          </w:tcPr>
          <w:p w14:paraId="4F9C9DB7">
            <w:pPr>
              <w:widowControl/>
              <w:jc w:val="left"/>
              <w:rPr>
                <w:rFonts w:hint="eastAsia" w:ascii="宋体" w:hAnsi="宋体" w:cs="宋体"/>
                <w:kern w:val="0"/>
                <w:sz w:val="21"/>
                <w:szCs w:val="21"/>
              </w:rPr>
            </w:pPr>
            <w:r>
              <w:rPr>
                <w:rFonts w:hint="eastAsia" w:ascii="宋体" w:hAnsi="宋体" w:cs="宋体"/>
                <w:kern w:val="0"/>
                <w:sz w:val="21"/>
                <w:szCs w:val="21"/>
              </w:rPr>
              <w:t>维保要求</w:t>
            </w:r>
          </w:p>
        </w:tc>
        <w:tc>
          <w:tcPr>
            <w:tcW w:w="5620" w:type="dxa"/>
            <w:shd w:val="clear" w:color="000000" w:fill="FFFFFF"/>
            <w:vAlign w:val="center"/>
          </w:tcPr>
          <w:p w14:paraId="465B595C">
            <w:pPr>
              <w:widowControl/>
              <w:jc w:val="left"/>
              <w:rPr>
                <w:rFonts w:hint="eastAsia" w:ascii="宋体" w:hAnsi="宋体" w:cs="宋体"/>
                <w:kern w:val="0"/>
                <w:sz w:val="21"/>
                <w:szCs w:val="21"/>
              </w:rPr>
            </w:pPr>
            <w:r>
              <w:rPr>
                <w:rFonts w:hint="eastAsia" w:ascii="宋体" w:hAnsi="宋体" w:cs="宋体"/>
                <w:kern w:val="0"/>
                <w:sz w:val="21"/>
                <w:szCs w:val="21"/>
              </w:rPr>
              <w:t>所有设备包含5年原厂维保服务</w:t>
            </w:r>
          </w:p>
        </w:tc>
      </w:tr>
      <w:tr w14:paraId="1236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7E1ECB9A">
            <w:pPr>
              <w:widowControl/>
              <w:jc w:val="left"/>
              <w:rPr>
                <w:rFonts w:hint="eastAsia" w:ascii="宋体" w:hAnsi="宋体" w:cs="宋体"/>
                <w:kern w:val="0"/>
                <w:sz w:val="21"/>
                <w:szCs w:val="21"/>
              </w:rPr>
            </w:pPr>
          </w:p>
        </w:tc>
        <w:tc>
          <w:tcPr>
            <w:tcW w:w="1040" w:type="dxa"/>
            <w:vMerge w:val="continue"/>
            <w:vAlign w:val="center"/>
          </w:tcPr>
          <w:p w14:paraId="7E75D35E">
            <w:pPr>
              <w:widowControl/>
              <w:jc w:val="left"/>
              <w:rPr>
                <w:rFonts w:hint="eastAsia" w:ascii="宋体" w:hAnsi="宋体" w:cs="宋体"/>
                <w:kern w:val="0"/>
                <w:sz w:val="21"/>
                <w:szCs w:val="21"/>
              </w:rPr>
            </w:pPr>
          </w:p>
        </w:tc>
        <w:tc>
          <w:tcPr>
            <w:tcW w:w="1400" w:type="dxa"/>
            <w:shd w:val="clear" w:color="auto" w:fill="auto"/>
            <w:vAlign w:val="center"/>
          </w:tcPr>
          <w:p w14:paraId="093ACA3E">
            <w:pPr>
              <w:widowControl/>
              <w:jc w:val="left"/>
              <w:rPr>
                <w:rFonts w:hint="eastAsia" w:ascii="宋体" w:hAnsi="宋体" w:cs="宋体"/>
                <w:kern w:val="0"/>
                <w:sz w:val="21"/>
                <w:szCs w:val="21"/>
              </w:rPr>
            </w:pPr>
            <w:r>
              <w:rPr>
                <w:rFonts w:hint="eastAsia" w:ascii="宋体" w:hAnsi="宋体" w:cs="宋体"/>
                <w:kern w:val="0"/>
                <w:sz w:val="21"/>
                <w:szCs w:val="21"/>
              </w:rPr>
              <w:t>端口要求</w:t>
            </w:r>
          </w:p>
        </w:tc>
        <w:tc>
          <w:tcPr>
            <w:tcW w:w="5620" w:type="dxa"/>
            <w:shd w:val="clear" w:color="000000" w:fill="FFFFFF"/>
            <w:vAlign w:val="center"/>
          </w:tcPr>
          <w:p w14:paraId="2F6D6133">
            <w:pPr>
              <w:widowControl/>
              <w:jc w:val="left"/>
              <w:rPr>
                <w:rFonts w:hint="eastAsia" w:ascii="宋体" w:hAnsi="宋体" w:cs="宋体"/>
                <w:kern w:val="0"/>
                <w:sz w:val="21"/>
                <w:szCs w:val="21"/>
              </w:rPr>
            </w:pPr>
            <w:r>
              <w:rPr>
                <w:rFonts w:hint="eastAsia" w:ascii="宋体" w:hAnsi="宋体" w:cs="宋体"/>
                <w:kern w:val="0"/>
                <w:sz w:val="21"/>
                <w:szCs w:val="21"/>
              </w:rPr>
              <w:t>提供不少于4千兆电口，4千兆光口的接口。</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3CCD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6FB8B20">
            <w:pPr>
              <w:widowControl/>
              <w:jc w:val="left"/>
              <w:rPr>
                <w:rFonts w:hint="eastAsia" w:ascii="宋体" w:hAnsi="宋体" w:cs="宋体"/>
                <w:kern w:val="0"/>
                <w:sz w:val="21"/>
                <w:szCs w:val="21"/>
              </w:rPr>
            </w:pPr>
          </w:p>
        </w:tc>
        <w:tc>
          <w:tcPr>
            <w:tcW w:w="1040" w:type="dxa"/>
            <w:vMerge w:val="continue"/>
            <w:vAlign w:val="center"/>
          </w:tcPr>
          <w:p w14:paraId="0B151ED9">
            <w:pPr>
              <w:widowControl/>
              <w:jc w:val="left"/>
              <w:rPr>
                <w:rFonts w:hint="eastAsia" w:ascii="宋体" w:hAnsi="宋体" w:cs="宋体"/>
                <w:kern w:val="0"/>
                <w:sz w:val="21"/>
                <w:szCs w:val="21"/>
              </w:rPr>
            </w:pPr>
          </w:p>
        </w:tc>
        <w:tc>
          <w:tcPr>
            <w:tcW w:w="1400" w:type="dxa"/>
            <w:vMerge w:val="restart"/>
            <w:shd w:val="clear" w:color="auto" w:fill="auto"/>
            <w:vAlign w:val="center"/>
          </w:tcPr>
          <w:p w14:paraId="444D249A">
            <w:pPr>
              <w:widowControl/>
              <w:jc w:val="left"/>
              <w:rPr>
                <w:rFonts w:hint="eastAsia" w:ascii="宋体" w:hAnsi="宋体" w:cs="宋体"/>
                <w:kern w:val="0"/>
                <w:sz w:val="21"/>
                <w:szCs w:val="21"/>
              </w:rPr>
            </w:pPr>
            <w:r>
              <w:rPr>
                <w:rFonts w:hint="eastAsia" w:ascii="宋体" w:hAnsi="宋体" w:cs="宋体"/>
                <w:kern w:val="0"/>
                <w:sz w:val="21"/>
                <w:szCs w:val="21"/>
              </w:rPr>
              <w:t>硬件规格</w:t>
            </w:r>
          </w:p>
        </w:tc>
        <w:tc>
          <w:tcPr>
            <w:tcW w:w="5620" w:type="dxa"/>
            <w:shd w:val="clear" w:color="000000" w:fill="FFFFFF"/>
            <w:vAlign w:val="center"/>
          </w:tcPr>
          <w:p w14:paraId="5E820382">
            <w:pPr>
              <w:widowControl/>
              <w:jc w:val="left"/>
              <w:rPr>
                <w:rFonts w:hint="eastAsia" w:ascii="宋体" w:hAnsi="宋体" w:cs="宋体"/>
                <w:kern w:val="0"/>
                <w:sz w:val="21"/>
                <w:szCs w:val="21"/>
              </w:rPr>
            </w:pPr>
            <w:r>
              <w:rPr>
                <w:rFonts w:hint="eastAsia" w:ascii="宋体" w:hAnsi="宋体" w:cs="宋体"/>
                <w:kern w:val="0"/>
                <w:sz w:val="21"/>
                <w:szCs w:val="21"/>
              </w:rPr>
              <w:t>内存≥16GB</w:t>
            </w:r>
          </w:p>
        </w:tc>
      </w:tr>
      <w:tr w14:paraId="3048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F83DC2D">
            <w:pPr>
              <w:widowControl/>
              <w:jc w:val="left"/>
              <w:rPr>
                <w:rFonts w:hint="eastAsia" w:ascii="宋体" w:hAnsi="宋体" w:cs="宋体"/>
                <w:kern w:val="0"/>
                <w:sz w:val="21"/>
                <w:szCs w:val="21"/>
              </w:rPr>
            </w:pPr>
          </w:p>
        </w:tc>
        <w:tc>
          <w:tcPr>
            <w:tcW w:w="1040" w:type="dxa"/>
            <w:vMerge w:val="continue"/>
            <w:vAlign w:val="center"/>
          </w:tcPr>
          <w:p w14:paraId="70A28130">
            <w:pPr>
              <w:widowControl/>
              <w:jc w:val="left"/>
              <w:rPr>
                <w:rFonts w:hint="eastAsia" w:ascii="宋体" w:hAnsi="宋体" w:cs="宋体"/>
                <w:kern w:val="0"/>
                <w:sz w:val="21"/>
                <w:szCs w:val="21"/>
              </w:rPr>
            </w:pPr>
          </w:p>
        </w:tc>
        <w:tc>
          <w:tcPr>
            <w:tcW w:w="1400" w:type="dxa"/>
            <w:vMerge w:val="continue"/>
            <w:vAlign w:val="center"/>
          </w:tcPr>
          <w:p w14:paraId="2542FC49">
            <w:pPr>
              <w:widowControl/>
              <w:jc w:val="left"/>
              <w:rPr>
                <w:rFonts w:hint="eastAsia" w:ascii="宋体" w:hAnsi="宋体" w:cs="宋体"/>
                <w:kern w:val="0"/>
                <w:sz w:val="21"/>
                <w:szCs w:val="21"/>
              </w:rPr>
            </w:pPr>
          </w:p>
        </w:tc>
        <w:tc>
          <w:tcPr>
            <w:tcW w:w="5620" w:type="dxa"/>
            <w:shd w:val="clear" w:color="000000" w:fill="FFFFFF"/>
            <w:vAlign w:val="center"/>
          </w:tcPr>
          <w:p w14:paraId="15D53B16">
            <w:pPr>
              <w:widowControl/>
              <w:jc w:val="left"/>
              <w:rPr>
                <w:rFonts w:hint="eastAsia" w:ascii="宋体" w:hAnsi="宋体" w:cs="宋体"/>
                <w:kern w:val="0"/>
                <w:sz w:val="21"/>
                <w:szCs w:val="21"/>
              </w:rPr>
            </w:pPr>
            <w:r>
              <w:rPr>
                <w:rFonts w:hint="eastAsia" w:ascii="宋体" w:hAnsi="宋体" w:cs="宋体"/>
                <w:kern w:val="0"/>
                <w:sz w:val="21"/>
                <w:szCs w:val="21"/>
              </w:rPr>
              <w:t>硬盘容量≥480G SSD</w:t>
            </w:r>
          </w:p>
        </w:tc>
      </w:tr>
      <w:tr w14:paraId="501D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99CB6E8">
            <w:pPr>
              <w:widowControl/>
              <w:jc w:val="left"/>
              <w:rPr>
                <w:rFonts w:hint="eastAsia" w:ascii="宋体" w:hAnsi="宋体" w:cs="宋体"/>
                <w:kern w:val="0"/>
                <w:sz w:val="21"/>
                <w:szCs w:val="21"/>
              </w:rPr>
            </w:pPr>
          </w:p>
        </w:tc>
        <w:tc>
          <w:tcPr>
            <w:tcW w:w="1040" w:type="dxa"/>
            <w:vMerge w:val="continue"/>
            <w:vAlign w:val="center"/>
          </w:tcPr>
          <w:p w14:paraId="3C21C197">
            <w:pPr>
              <w:widowControl/>
              <w:jc w:val="left"/>
              <w:rPr>
                <w:rFonts w:hint="eastAsia" w:ascii="宋体" w:hAnsi="宋体" w:cs="宋体"/>
                <w:kern w:val="0"/>
                <w:sz w:val="21"/>
                <w:szCs w:val="21"/>
              </w:rPr>
            </w:pPr>
          </w:p>
        </w:tc>
        <w:tc>
          <w:tcPr>
            <w:tcW w:w="1400" w:type="dxa"/>
            <w:vMerge w:val="continue"/>
            <w:vAlign w:val="center"/>
          </w:tcPr>
          <w:p w14:paraId="760C997D">
            <w:pPr>
              <w:widowControl/>
              <w:jc w:val="left"/>
              <w:rPr>
                <w:rFonts w:hint="eastAsia" w:ascii="宋体" w:hAnsi="宋体" w:cs="宋体"/>
                <w:kern w:val="0"/>
                <w:sz w:val="21"/>
                <w:szCs w:val="21"/>
              </w:rPr>
            </w:pPr>
          </w:p>
        </w:tc>
        <w:tc>
          <w:tcPr>
            <w:tcW w:w="5620" w:type="dxa"/>
            <w:shd w:val="clear" w:color="000000" w:fill="FFFFFF"/>
            <w:vAlign w:val="center"/>
          </w:tcPr>
          <w:p w14:paraId="5C69563B">
            <w:pPr>
              <w:widowControl/>
              <w:jc w:val="left"/>
              <w:rPr>
                <w:rFonts w:hint="eastAsia" w:ascii="宋体" w:hAnsi="宋体" w:cs="宋体"/>
                <w:kern w:val="0"/>
                <w:sz w:val="21"/>
                <w:szCs w:val="21"/>
              </w:rPr>
            </w:pPr>
            <w:r>
              <w:rPr>
                <w:rFonts w:hint="eastAsia" w:ascii="宋体" w:hAnsi="宋体" w:cs="宋体"/>
                <w:kern w:val="0"/>
                <w:sz w:val="21"/>
                <w:szCs w:val="21"/>
              </w:rPr>
              <w:t>冗余电源，支持热插拔</w:t>
            </w:r>
          </w:p>
        </w:tc>
      </w:tr>
      <w:tr w14:paraId="610D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9D286B0">
            <w:pPr>
              <w:widowControl/>
              <w:jc w:val="left"/>
              <w:rPr>
                <w:rFonts w:hint="eastAsia" w:ascii="宋体" w:hAnsi="宋体" w:cs="宋体"/>
                <w:kern w:val="0"/>
                <w:sz w:val="21"/>
                <w:szCs w:val="21"/>
              </w:rPr>
            </w:pPr>
          </w:p>
        </w:tc>
        <w:tc>
          <w:tcPr>
            <w:tcW w:w="1040" w:type="dxa"/>
            <w:vMerge w:val="restart"/>
            <w:shd w:val="clear" w:color="auto" w:fill="auto"/>
            <w:vAlign w:val="center"/>
          </w:tcPr>
          <w:p w14:paraId="0C85C9A9">
            <w:pPr>
              <w:widowControl/>
              <w:jc w:val="center"/>
              <w:rPr>
                <w:rFonts w:hint="eastAsia" w:ascii="宋体" w:hAnsi="宋体" w:cs="宋体"/>
                <w:kern w:val="0"/>
                <w:sz w:val="21"/>
                <w:szCs w:val="21"/>
              </w:rPr>
            </w:pPr>
            <w:r>
              <w:rPr>
                <w:rFonts w:hint="eastAsia" w:ascii="宋体" w:hAnsi="宋体" w:cs="宋体"/>
                <w:kern w:val="0"/>
                <w:sz w:val="21"/>
                <w:szCs w:val="21"/>
              </w:rPr>
              <w:t>功能要求</w:t>
            </w:r>
          </w:p>
        </w:tc>
        <w:tc>
          <w:tcPr>
            <w:tcW w:w="1400" w:type="dxa"/>
            <w:shd w:val="clear" w:color="auto" w:fill="auto"/>
            <w:vAlign w:val="center"/>
          </w:tcPr>
          <w:p w14:paraId="039602F5">
            <w:pPr>
              <w:widowControl/>
              <w:jc w:val="left"/>
              <w:rPr>
                <w:rFonts w:hint="eastAsia" w:ascii="宋体" w:hAnsi="宋体" w:cs="宋体"/>
                <w:kern w:val="0"/>
                <w:sz w:val="21"/>
                <w:szCs w:val="21"/>
              </w:rPr>
            </w:pPr>
            <w:r>
              <w:rPr>
                <w:rFonts w:hint="eastAsia" w:ascii="宋体" w:hAnsi="宋体" w:cs="宋体"/>
                <w:kern w:val="0"/>
                <w:sz w:val="21"/>
                <w:szCs w:val="21"/>
              </w:rPr>
              <w:t>设备部署</w:t>
            </w:r>
          </w:p>
        </w:tc>
        <w:tc>
          <w:tcPr>
            <w:tcW w:w="5620" w:type="dxa"/>
            <w:shd w:val="clear" w:color="000000" w:fill="FFFFFF"/>
            <w:vAlign w:val="center"/>
          </w:tcPr>
          <w:p w14:paraId="2CFC2B13">
            <w:pPr>
              <w:widowControl/>
              <w:jc w:val="left"/>
              <w:rPr>
                <w:rFonts w:hint="eastAsia" w:ascii="宋体" w:hAnsi="宋体" w:cs="宋体"/>
                <w:kern w:val="0"/>
                <w:sz w:val="21"/>
                <w:szCs w:val="21"/>
              </w:rPr>
            </w:pPr>
            <w:r>
              <w:rPr>
                <w:rFonts w:hint="eastAsia" w:ascii="宋体" w:hAnsi="宋体" w:cs="宋体"/>
                <w:kern w:val="0"/>
                <w:sz w:val="21"/>
                <w:szCs w:val="21"/>
              </w:rPr>
              <w:t>支持串接部署方式和单臂部署方式，支持三角传输模式；</w:t>
            </w:r>
          </w:p>
        </w:tc>
      </w:tr>
      <w:tr w14:paraId="351F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5B566D3">
            <w:pPr>
              <w:widowControl/>
              <w:jc w:val="left"/>
              <w:rPr>
                <w:rFonts w:hint="eastAsia" w:ascii="宋体" w:hAnsi="宋体" w:cs="宋体"/>
                <w:kern w:val="0"/>
                <w:sz w:val="21"/>
                <w:szCs w:val="21"/>
              </w:rPr>
            </w:pPr>
          </w:p>
        </w:tc>
        <w:tc>
          <w:tcPr>
            <w:tcW w:w="1040" w:type="dxa"/>
            <w:vMerge w:val="continue"/>
            <w:vAlign w:val="center"/>
          </w:tcPr>
          <w:p w14:paraId="2B369BD9">
            <w:pPr>
              <w:widowControl/>
              <w:jc w:val="left"/>
              <w:rPr>
                <w:rFonts w:hint="eastAsia" w:ascii="宋体" w:hAnsi="宋体" w:cs="宋体"/>
                <w:kern w:val="0"/>
                <w:sz w:val="21"/>
                <w:szCs w:val="21"/>
              </w:rPr>
            </w:pPr>
          </w:p>
        </w:tc>
        <w:tc>
          <w:tcPr>
            <w:tcW w:w="1400" w:type="dxa"/>
            <w:vMerge w:val="restart"/>
            <w:shd w:val="clear" w:color="auto" w:fill="auto"/>
            <w:vAlign w:val="center"/>
          </w:tcPr>
          <w:p w14:paraId="69059C96">
            <w:pPr>
              <w:widowControl/>
              <w:jc w:val="left"/>
              <w:rPr>
                <w:rFonts w:hint="eastAsia" w:ascii="宋体" w:hAnsi="宋体" w:cs="宋体"/>
                <w:kern w:val="0"/>
                <w:sz w:val="21"/>
                <w:szCs w:val="21"/>
              </w:rPr>
            </w:pPr>
            <w:r>
              <w:rPr>
                <w:rFonts w:hint="eastAsia" w:ascii="宋体" w:hAnsi="宋体" w:cs="宋体"/>
                <w:kern w:val="0"/>
                <w:sz w:val="21"/>
                <w:szCs w:val="21"/>
              </w:rPr>
              <w:t>链路负载均衡</w:t>
            </w:r>
          </w:p>
        </w:tc>
        <w:tc>
          <w:tcPr>
            <w:tcW w:w="5620" w:type="dxa"/>
            <w:shd w:val="clear" w:color="000000" w:fill="FFFFFF"/>
            <w:vAlign w:val="center"/>
          </w:tcPr>
          <w:p w14:paraId="17550EA5">
            <w:pPr>
              <w:widowControl/>
              <w:jc w:val="left"/>
              <w:rPr>
                <w:rFonts w:hint="eastAsia" w:ascii="宋体" w:hAnsi="宋体" w:cs="宋体"/>
                <w:kern w:val="0"/>
                <w:sz w:val="21"/>
                <w:szCs w:val="21"/>
              </w:rPr>
            </w:pPr>
            <w:r>
              <w:rPr>
                <w:rFonts w:hint="eastAsia" w:ascii="宋体" w:hAnsi="宋体" w:cs="宋体"/>
                <w:kern w:val="0"/>
                <w:sz w:val="21"/>
                <w:szCs w:val="21"/>
              </w:rPr>
              <w:t>支持静态IP和PPPOE两种线路接入方式；</w:t>
            </w:r>
          </w:p>
        </w:tc>
      </w:tr>
      <w:tr w14:paraId="400F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17C491BB">
            <w:pPr>
              <w:widowControl/>
              <w:jc w:val="left"/>
              <w:rPr>
                <w:rFonts w:hint="eastAsia" w:ascii="宋体" w:hAnsi="宋体" w:cs="宋体"/>
                <w:kern w:val="0"/>
                <w:sz w:val="21"/>
                <w:szCs w:val="21"/>
              </w:rPr>
            </w:pPr>
          </w:p>
        </w:tc>
        <w:tc>
          <w:tcPr>
            <w:tcW w:w="1040" w:type="dxa"/>
            <w:vMerge w:val="continue"/>
            <w:vAlign w:val="center"/>
          </w:tcPr>
          <w:p w14:paraId="6B177BFD">
            <w:pPr>
              <w:widowControl/>
              <w:jc w:val="left"/>
              <w:rPr>
                <w:rFonts w:hint="eastAsia" w:ascii="宋体" w:hAnsi="宋体" w:cs="宋体"/>
                <w:kern w:val="0"/>
                <w:sz w:val="21"/>
                <w:szCs w:val="21"/>
              </w:rPr>
            </w:pPr>
          </w:p>
        </w:tc>
        <w:tc>
          <w:tcPr>
            <w:tcW w:w="1400" w:type="dxa"/>
            <w:vMerge w:val="continue"/>
            <w:vAlign w:val="center"/>
          </w:tcPr>
          <w:p w14:paraId="7EFC7691">
            <w:pPr>
              <w:widowControl/>
              <w:jc w:val="left"/>
              <w:rPr>
                <w:rFonts w:hint="eastAsia" w:ascii="宋体" w:hAnsi="宋体" w:cs="宋体"/>
                <w:kern w:val="0"/>
                <w:sz w:val="21"/>
                <w:szCs w:val="21"/>
              </w:rPr>
            </w:pPr>
          </w:p>
        </w:tc>
        <w:tc>
          <w:tcPr>
            <w:tcW w:w="5620" w:type="dxa"/>
            <w:shd w:val="clear" w:color="000000" w:fill="FFFFFF"/>
            <w:vAlign w:val="center"/>
          </w:tcPr>
          <w:p w14:paraId="365D9AFA">
            <w:pPr>
              <w:widowControl/>
              <w:jc w:val="left"/>
              <w:rPr>
                <w:rFonts w:hint="eastAsia" w:ascii="宋体" w:hAnsi="宋体" w:cs="宋体"/>
                <w:kern w:val="0"/>
                <w:sz w:val="21"/>
                <w:szCs w:val="21"/>
              </w:rPr>
            </w:pPr>
            <w:r>
              <w:rPr>
                <w:rFonts w:hint="eastAsia" w:ascii="宋体" w:hAnsi="宋体" w:cs="宋体"/>
                <w:kern w:val="0"/>
                <w:sz w:val="21"/>
                <w:szCs w:val="21"/>
              </w:rPr>
              <w:t>支持在Web页面配置实现基于管理员自定义的时间计划来进行出站访问的流量调度；</w:t>
            </w:r>
          </w:p>
        </w:tc>
      </w:tr>
      <w:tr w14:paraId="7EBE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3C52758">
            <w:pPr>
              <w:widowControl/>
              <w:jc w:val="left"/>
              <w:rPr>
                <w:rFonts w:hint="eastAsia" w:ascii="宋体" w:hAnsi="宋体" w:cs="宋体"/>
                <w:kern w:val="0"/>
                <w:sz w:val="21"/>
                <w:szCs w:val="21"/>
              </w:rPr>
            </w:pPr>
          </w:p>
        </w:tc>
        <w:tc>
          <w:tcPr>
            <w:tcW w:w="1040" w:type="dxa"/>
            <w:vMerge w:val="continue"/>
            <w:vAlign w:val="center"/>
          </w:tcPr>
          <w:p w14:paraId="5D832F90">
            <w:pPr>
              <w:widowControl/>
              <w:jc w:val="left"/>
              <w:rPr>
                <w:rFonts w:hint="eastAsia" w:ascii="宋体" w:hAnsi="宋体" w:cs="宋体"/>
                <w:kern w:val="0"/>
                <w:sz w:val="21"/>
                <w:szCs w:val="21"/>
              </w:rPr>
            </w:pPr>
          </w:p>
        </w:tc>
        <w:tc>
          <w:tcPr>
            <w:tcW w:w="1400" w:type="dxa"/>
            <w:vMerge w:val="continue"/>
            <w:vAlign w:val="center"/>
          </w:tcPr>
          <w:p w14:paraId="0CC483ED">
            <w:pPr>
              <w:widowControl/>
              <w:jc w:val="left"/>
              <w:rPr>
                <w:rFonts w:hint="eastAsia" w:ascii="宋体" w:hAnsi="宋体" w:cs="宋体"/>
                <w:kern w:val="0"/>
                <w:sz w:val="21"/>
                <w:szCs w:val="21"/>
              </w:rPr>
            </w:pPr>
          </w:p>
        </w:tc>
        <w:tc>
          <w:tcPr>
            <w:tcW w:w="5620" w:type="dxa"/>
            <w:shd w:val="clear" w:color="000000" w:fill="FFFFFF"/>
            <w:vAlign w:val="center"/>
          </w:tcPr>
          <w:p w14:paraId="6A05E20D">
            <w:pPr>
              <w:widowControl/>
              <w:jc w:val="left"/>
              <w:rPr>
                <w:rFonts w:hint="eastAsia" w:ascii="宋体" w:hAnsi="宋体" w:cs="宋体"/>
                <w:kern w:val="0"/>
                <w:sz w:val="21"/>
                <w:szCs w:val="21"/>
              </w:rPr>
            </w:pPr>
            <w:r>
              <w:rPr>
                <w:rFonts w:hint="eastAsia" w:ascii="宋体" w:hAnsi="宋体" w:cs="宋体"/>
                <w:kern w:val="0"/>
                <w:sz w:val="21"/>
                <w:szCs w:val="21"/>
              </w:rPr>
              <w:t>支持基于运营商ISP地址库的策略路由，内置国内各运营商IP地址库并且支持自动在线更新（提供设备操作界面截图证明材料）</w:t>
            </w:r>
          </w:p>
        </w:tc>
      </w:tr>
      <w:tr w14:paraId="38FA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0" w:type="dxa"/>
            <w:vMerge w:val="continue"/>
            <w:vAlign w:val="center"/>
          </w:tcPr>
          <w:p w14:paraId="5C16D0DD">
            <w:pPr>
              <w:widowControl/>
              <w:jc w:val="left"/>
              <w:rPr>
                <w:rFonts w:hint="eastAsia" w:ascii="宋体" w:hAnsi="宋体" w:cs="宋体"/>
                <w:kern w:val="0"/>
                <w:sz w:val="21"/>
                <w:szCs w:val="21"/>
              </w:rPr>
            </w:pPr>
          </w:p>
        </w:tc>
        <w:tc>
          <w:tcPr>
            <w:tcW w:w="1040" w:type="dxa"/>
            <w:vMerge w:val="continue"/>
            <w:vAlign w:val="center"/>
          </w:tcPr>
          <w:p w14:paraId="72579143">
            <w:pPr>
              <w:widowControl/>
              <w:jc w:val="left"/>
              <w:rPr>
                <w:rFonts w:hint="eastAsia" w:ascii="宋体" w:hAnsi="宋体" w:cs="宋体"/>
                <w:kern w:val="0"/>
                <w:sz w:val="21"/>
                <w:szCs w:val="21"/>
              </w:rPr>
            </w:pPr>
          </w:p>
        </w:tc>
        <w:tc>
          <w:tcPr>
            <w:tcW w:w="1400" w:type="dxa"/>
            <w:vMerge w:val="continue"/>
            <w:vAlign w:val="center"/>
          </w:tcPr>
          <w:p w14:paraId="246CB585">
            <w:pPr>
              <w:widowControl/>
              <w:jc w:val="left"/>
              <w:rPr>
                <w:rFonts w:hint="eastAsia" w:ascii="宋体" w:hAnsi="宋体" w:cs="宋体"/>
                <w:kern w:val="0"/>
                <w:sz w:val="21"/>
                <w:szCs w:val="21"/>
              </w:rPr>
            </w:pPr>
          </w:p>
        </w:tc>
        <w:tc>
          <w:tcPr>
            <w:tcW w:w="5620" w:type="dxa"/>
            <w:shd w:val="clear" w:color="000000" w:fill="FFFFFF"/>
            <w:vAlign w:val="center"/>
          </w:tcPr>
          <w:p w14:paraId="797C84A8">
            <w:pPr>
              <w:widowControl/>
              <w:jc w:val="left"/>
              <w:rPr>
                <w:rFonts w:hint="eastAsia" w:ascii="宋体" w:hAnsi="宋体" w:cs="宋体"/>
                <w:kern w:val="0"/>
                <w:sz w:val="21"/>
                <w:szCs w:val="21"/>
              </w:rPr>
            </w:pPr>
            <w:r>
              <w:rPr>
                <w:rFonts w:hint="eastAsia" w:ascii="宋体" w:hAnsi="宋体" w:cs="宋体"/>
                <w:kern w:val="0"/>
                <w:sz w:val="21"/>
                <w:szCs w:val="21"/>
              </w:rPr>
              <w:t>支持基于应用类型（视频、网银等）的智能选路，产品内置网上银行、Web流媒体、音频视频等应用规则，要求规则内容包含名称、类型、网址等关键信息，并且支持自动更新应用规则库（提供设备操作界面截图证明材料）</w:t>
            </w:r>
          </w:p>
        </w:tc>
      </w:tr>
      <w:tr w14:paraId="6B26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6E35F3FD">
            <w:pPr>
              <w:widowControl/>
              <w:jc w:val="left"/>
              <w:rPr>
                <w:rFonts w:hint="eastAsia" w:ascii="宋体" w:hAnsi="宋体" w:cs="宋体"/>
                <w:kern w:val="0"/>
                <w:sz w:val="21"/>
                <w:szCs w:val="21"/>
              </w:rPr>
            </w:pPr>
          </w:p>
        </w:tc>
        <w:tc>
          <w:tcPr>
            <w:tcW w:w="1040" w:type="dxa"/>
            <w:vMerge w:val="continue"/>
            <w:vAlign w:val="center"/>
          </w:tcPr>
          <w:p w14:paraId="26DE1CF5">
            <w:pPr>
              <w:widowControl/>
              <w:jc w:val="left"/>
              <w:rPr>
                <w:rFonts w:hint="eastAsia" w:ascii="宋体" w:hAnsi="宋体" w:cs="宋体"/>
                <w:kern w:val="0"/>
                <w:sz w:val="21"/>
                <w:szCs w:val="21"/>
              </w:rPr>
            </w:pPr>
          </w:p>
        </w:tc>
        <w:tc>
          <w:tcPr>
            <w:tcW w:w="1400" w:type="dxa"/>
            <w:vMerge w:val="continue"/>
            <w:vAlign w:val="center"/>
          </w:tcPr>
          <w:p w14:paraId="3209BA26">
            <w:pPr>
              <w:widowControl/>
              <w:jc w:val="left"/>
              <w:rPr>
                <w:rFonts w:hint="eastAsia" w:ascii="宋体" w:hAnsi="宋体" w:cs="宋体"/>
                <w:kern w:val="0"/>
                <w:sz w:val="21"/>
                <w:szCs w:val="21"/>
              </w:rPr>
            </w:pPr>
          </w:p>
        </w:tc>
        <w:tc>
          <w:tcPr>
            <w:tcW w:w="5620" w:type="dxa"/>
            <w:shd w:val="clear" w:color="000000" w:fill="FFFFFF"/>
            <w:vAlign w:val="center"/>
          </w:tcPr>
          <w:p w14:paraId="3A3700CC">
            <w:pPr>
              <w:widowControl/>
              <w:jc w:val="left"/>
              <w:rPr>
                <w:rFonts w:hint="eastAsia" w:ascii="宋体" w:hAnsi="宋体" w:cs="宋体"/>
                <w:kern w:val="0"/>
                <w:sz w:val="21"/>
                <w:szCs w:val="21"/>
              </w:rPr>
            </w:pPr>
            <w:r>
              <w:rPr>
                <w:rFonts w:hint="eastAsia" w:ascii="宋体" w:hAnsi="宋体" w:cs="宋体"/>
                <w:kern w:val="0"/>
                <w:sz w:val="21"/>
                <w:szCs w:val="21"/>
              </w:rPr>
              <w:t>支持基于域名的链路负载功能，域名可自定义或引用内置域名库，内置域名库域名数量不少于10万条（提供设备操作界面截图证明材料）</w:t>
            </w:r>
          </w:p>
        </w:tc>
      </w:tr>
      <w:tr w14:paraId="6BCF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3B336485">
            <w:pPr>
              <w:widowControl/>
              <w:jc w:val="left"/>
              <w:rPr>
                <w:rFonts w:hint="eastAsia" w:ascii="宋体" w:hAnsi="宋体" w:cs="宋体"/>
                <w:kern w:val="0"/>
                <w:sz w:val="21"/>
                <w:szCs w:val="21"/>
              </w:rPr>
            </w:pPr>
          </w:p>
        </w:tc>
        <w:tc>
          <w:tcPr>
            <w:tcW w:w="1040" w:type="dxa"/>
            <w:vMerge w:val="continue"/>
            <w:vAlign w:val="center"/>
          </w:tcPr>
          <w:p w14:paraId="3DA419C2">
            <w:pPr>
              <w:widowControl/>
              <w:jc w:val="left"/>
              <w:rPr>
                <w:rFonts w:hint="eastAsia" w:ascii="宋体" w:hAnsi="宋体" w:cs="宋体"/>
                <w:kern w:val="0"/>
                <w:sz w:val="21"/>
                <w:szCs w:val="21"/>
              </w:rPr>
            </w:pPr>
          </w:p>
        </w:tc>
        <w:tc>
          <w:tcPr>
            <w:tcW w:w="1400" w:type="dxa"/>
            <w:vMerge w:val="continue"/>
            <w:vAlign w:val="center"/>
          </w:tcPr>
          <w:p w14:paraId="5B7D0057">
            <w:pPr>
              <w:widowControl/>
              <w:jc w:val="left"/>
              <w:rPr>
                <w:rFonts w:hint="eastAsia" w:ascii="宋体" w:hAnsi="宋体" w:cs="宋体"/>
                <w:kern w:val="0"/>
                <w:sz w:val="21"/>
                <w:szCs w:val="21"/>
              </w:rPr>
            </w:pPr>
          </w:p>
        </w:tc>
        <w:tc>
          <w:tcPr>
            <w:tcW w:w="5620" w:type="dxa"/>
            <w:shd w:val="clear" w:color="000000" w:fill="FFFFFF"/>
            <w:vAlign w:val="center"/>
          </w:tcPr>
          <w:p w14:paraId="6582F3C7">
            <w:pPr>
              <w:widowControl/>
              <w:jc w:val="left"/>
              <w:rPr>
                <w:rFonts w:hint="eastAsia" w:ascii="宋体" w:hAnsi="宋体" w:cs="宋体"/>
                <w:kern w:val="0"/>
                <w:sz w:val="21"/>
                <w:szCs w:val="21"/>
              </w:rPr>
            </w:pPr>
            <w:r>
              <w:rPr>
                <w:rFonts w:hint="eastAsia" w:ascii="宋体" w:hAnsi="宋体" w:cs="宋体"/>
                <w:kern w:val="0"/>
                <w:sz w:val="21"/>
                <w:szCs w:val="21"/>
              </w:rPr>
              <w:t>支持通过WEB管理页面进行策略路由测试，用户在测试页面输入相关信息（源IP、目标IP、源端口、目标端口、TCP/UDP/ICMP等协议）模拟并生成测试结果（提供设备操作界面截图证明材料）</w:t>
            </w:r>
          </w:p>
        </w:tc>
      </w:tr>
      <w:tr w14:paraId="31E0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7F88778B">
            <w:pPr>
              <w:widowControl/>
              <w:jc w:val="left"/>
              <w:rPr>
                <w:rFonts w:hint="eastAsia" w:ascii="宋体" w:hAnsi="宋体" w:cs="宋体"/>
                <w:kern w:val="0"/>
                <w:sz w:val="21"/>
                <w:szCs w:val="21"/>
              </w:rPr>
            </w:pPr>
          </w:p>
        </w:tc>
        <w:tc>
          <w:tcPr>
            <w:tcW w:w="1040" w:type="dxa"/>
            <w:vMerge w:val="continue"/>
            <w:vAlign w:val="center"/>
          </w:tcPr>
          <w:p w14:paraId="315F091B">
            <w:pPr>
              <w:widowControl/>
              <w:jc w:val="left"/>
              <w:rPr>
                <w:rFonts w:hint="eastAsia" w:ascii="宋体" w:hAnsi="宋体" w:cs="宋体"/>
                <w:kern w:val="0"/>
                <w:sz w:val="21"/>
                <w:szCs w:val="21"/>
              </w:rPr>
            </w:pPr>
          </w:p>
        </w:tc>
        <w:tc>
          <w:tcPr>
            <w:tcW w:w="1400" w:type="dxa"/>
            <w:vMerge w:val="restart"/>
            <w:shd w:val="clear" w:color="auto" w:fill="auto"/>
            <w:vAlign w:val="center"/>
          </w:tcPr>
          <w:p w14:paraId="25ED2328">
            <w:pPr>
              <w:widowControl/>
              <w:jc w:val="left"/>
              <w:rPr>
                <w:rFonts w:hint="eastAsia" w:ascii="宋体" w:hAnsi="宋体" w:cs="宋体"/>
                <w:kern w:val="0"/>
                <w:sz w:val="21"/>
                <w:szCs w:val="21"/>
              </w:rPr>
            </w:pPr>
            <w:r>
              <w:rPr>
                <w:rFonts w:hint="eastAsia" w:ascii="宋体" w:hAnsi="宋体" w:cs="宋体"/>
                <w:kern w:val="0"/>
                <w:sz w:val="21"/>
                <w:szCs w:val="21"/>
              </w:rPr>
              <w:t>全局负载均衡</w:t>
            </w:r>
          </w:p>
        </w:tc>
        <w:tc>
          <w:tcPr>
            <w:tcW w:w="5620" w:type="dxa"/>
            <w:shd w:val="clear" w:color="000000" w:fill="FFFFFF"/>
            <w:vAlign w:val="center"/>
          </w:tcPr>
          <w:p w14:paraId="156A80E9">
            <w:pPr>
              <w:widowControl/>
              <w:jc w:val="left"/>
              <w:rPr>
                <w:rFonts w:hint="eastAsia" w:ascii="宋体" w:hAnsi="宋体" w:cs="宋体"/>
                <w:kern w:val="0"/>
                <w:sz w:val="21"/>
                <w:szCs w:val="21"/>
              </w:rPr>
            </w:pPr>
            <w:r>
              <w:rPr>
                <w:rFonts w:hint="eastAsia" w:ascii="宋体" w:hAnsi="宋体" w:cs="宋体"/>
                <w:kern w:val="0"/>
                <w:sz w:val="21"/>
                <w:szCs w:val="21"/>
              </w:rPr>
              <w:t>支持LDNS功能，LDNS功能支持DNS的RPZ防火墙功能，支持定义RPZ规则来阻止访问受感染的站点，支持NXDOMAIN、NODATA、DROP和CNAME等四种动作（提供设备操作界面截图证明材料）</w:t>
            </w:r>
          </w:p>
        </w:tc>
      </w:tr>
      <w:tr w14:paraId="40E0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02236C92">
            <w:pPr>
              <w:widowControl/>
              <w:jc w:val="left"/>
              <w:rPr>
                <w:rFonts w:hint="eastAsia" w:ascii="宋体" w:hAnsi="宋体" w:cs="宋体"/>
                <w:kern w:val="0"/>
                <w:sz w:val="21"/>
                <w:szCs w:val="21"/>
              </w:rPr>
            </w:pPr>
          </w:p>
        </w:tc>
        <w:tc>
          <w:tcPr>
            <w:tcW w:w="1040" w:type="dxa"/>
            <w:vMerge w:val="continue"/>
            <w:vAlign w:val="center"/>
          </w:tcPr>
          <w:p w14:paraId="2408C953">
            <w:pPr>
              <w:widowControl/>
              <w:jc w:val="left"/>
              <w:rPr>
                <w:rFonts w:hint="eastAsia" w:ascii="宋体" w:hAnsi="宋体" w:cs="宋体"/>
                <w:kern w:val="0"/>
                <w:sz w:val="21"/>
                <w:szCs w:val="21"/>
              </w:rPr>
            </w:pPr>
          </w:p>
        </w:tc>
        <w:tc>
          <w:tcPr>
            <w:tcW w:w="1400" w:type="dxa"/>
            <w:vMerge w:val="continue"/>
            <w:vAlign w:val="center"/>
          </w:tcPr>
          <w:p w14:paraId="0020360C">
            <w:pPr>
              <w:widowControl/>
              <w:jc w:val="left"/>
              <w:rPr>
                <w:rFonts w:hint="eastAsia" w:ascii="宋体" w:hAnsi="宋体" w:cs="宋体"/>
                <w:kern w:val="0"/>
                <w:sz w:val="21"/>
                <w:szCs w:val="21"/>
              </w:rPr>
            </w:pPr>
          </w:p>
        </w:tc>
        <w:tc>
          <w:tcPr>
            <w:tcW w:w="5620" w:type="dxa"/>
            <w:shd w:val="clear" w:color="000000" w:fill="FFFFFF"/>
            <w:vAlign w:val="center"/>
          </w:tcPr>
          <w:p w14:paraId="6EC61A03">
            <w:pPr>
              <w:widowControl/>
              <w:jc w:val="left"/>
              <w:rPr>
                <w:rFonts w:hint="eastAsia" w:ascii="宋体" w:hAnsi="宋体" w:cs="宋体"/>
                <w:kern w:val="0"/>
                <w:sz w:val="21"/>
                <w:szCs w:val="21"/>
              </w:rPr>
            </w:pPr>
            <w:r>
              <w:rPr>
                <w:rFonts w:hint="eastAsia" w:ascii="宋体" w:hAnsi="宋体" w:cs="宋体"/>
                <w:kern w:val="0"/>
                <w:sz w:val="21"/>
                <w:szCs w:val="21"/>
              </w:rPr>
              <w:t>支持DNS缓存，可配置全局缓存时间范围，并可设置：MSG缓存大小、RR缓存大小、密钥缓存大小、否定记录缓存大小和否定记录最大缓存时间等（提供设备操作界面截图证明材料）</w:t>
            </w:r>
          </w:p>
        </w:tc>
      </w:tr>
      <w:tr w14:paraId="77B7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0C0BEDF0">
            <w:pPr>
              <w:widowControl/>
              <w:jc w:val="left"/>
              <w:rPr>
                <w:rFonts w:hint="eastAsia" w:ascii="宋体" w:hAnsi="宋体" w:cs="宋体"/>
                <w:kern w:val="0"/>
                <w:sz w:val="21"/>
                <w:szCs w:val="21"/>
              </w:rPr>
            </w:pPr>
          </w:p>
        </w:tc>
        <w:tc>
          <w:tcPr>
            <w:tcW w:w="1040" w:type="dxa"/>
            <w:vMerge w:val="continue"/>
            <w:vAlign w:val="center"/>
          </w:tcPr>
          <w:p w14:paraId="40B3CD7B">
            <w:pPr>
              <w:widowControl/>
              <w:jc w:val="left"/>
              <w:rPr>
                <w:rFonts w:hint="eastAsia" w:ascii="宋体" w:hAnsi="宋体" w:cs="宋体"/>
                <w:kern w:val="0"/>
                <w:sz w:val="21"/>
                <w:szCs w:val="21"/>
              </w:rPr>
            </w:pPr>
          </w:p>
        </w:tc>
        <w:tc>
          <w:tcPr>
            <w:tcW w:w="1400" w:type="dxa"/>
            <w:vMerge w:val="continue"/>
            <w:vAlign w:val="center"/>
          </w:tcPr>
          <w:p w14:paraId="4CDEB17D">
            <w:pPr>
              <w:widowControl/>
              <w:jc w:val="left"/>
              <w:rPr>
                <w:rFonts w:hint="eastAsia" w:ascii="宋体" w:hAnsi="宋体" w:cs="宋体"/>
                <w:kern w:val="0"/>
                <w:sz w:val="21"/>
                <w:szCs w:val="21"/>
              </w:rPr>
            </w:pPr>
          </w:p>
        </w:tc>
        <w:tc>
          <w:tcPr>
            <w:tcW w:w="5620" w:type="dxa"/>
            <w:shd w:val="clear" w:color="000000" w:fill="FFFFFF"/>
            <w:vAlign w:val="center"/>
          </w:tcPr>
          <w:p w14:paraId="164BDF08">
            <w:pPr>
              <w:widowControl/>
              <w:jc w:val="left"/>
              <w:rPr>
                <w:rFonts w:hint="eastAsia" w:ascii="宋体" w:hAnsi="宋体" w:cs="宋体"/>
                <w:kern w:val="0"/>
                <w:sz w:val="21"/>
                <w:szCs w:val="21"/>
              </w:rPr>
            </w:pPr>
            <w:r>
              <w:rPr>
                <w:rFonts w:hint="eastAsia" w:ascii="宋体" w:hAnsi="宋体" w:cs="宋体"/>
                <w:kern w:val="0"/>
                <w:sz w:val="21"/>
                <w:szCs w:val="21"/>
              </w:rPr>
              <w:t>支持通过Web管理页面进行智能DNS解析规则测试，支持A记录和AAAA记录等测试类型，在测试页面可直接生成测试结果（提供设备操作界面截图证明材料）</w:t>
            </w:r>
          </w:p>
        </w:tc>
      </w:tr>
      <w:tr w14:paraId="6672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655EA7D3">
            <w:pPr>
              <w:widowControl/>
              <w:jc w:val="left"/>
              <w:rPr>
                <w:rFonts w:hint="eastAsia" w:ascii="宋体" w:hAnsi="宋体" w:cs="宋体"/>
                <w:kern w:val="0"/>
                <w:sz w:val="21"/>
                <w:szCs w:val="21"/>
              </w:rPr>
            </w:pPr>
          </w:p>
        </w:tc>
        <w:tc>
          <w:tcPr>
            <w:tcW w:w="1040" w:type="dxa"/>
            <w:vMerge w:val="continue"/>
            <w:vAlign w:val="center"/>
          </w:tcPr>
          <w:p w14:paraId="7B592E47">
            <w:pPr>
              <w:widowControl/>
              <w:jc w:val="left"/>
              <w:rPr>
                <w:rFonts w:hint="eastAsia" w:ascii="宋体" w:hAnsi="宋体" w:cs="宋体"/>
                <w:kern w:val="0"/>
                <w:sz w:val="21"/>
                <w:szCs w:val="21"/>
              </w:rPr>
            </w:pPr>
          </w:p>
        </w:tc>
        <w:tc>
          <w:tcPr>
            <w:tcW w:w="1400" w:type="dxa"/>
            <w:vMerge w:val="restart"/>
            <w:shd w:val="clear" w:color="auto" w:fill="auto"/>
            <w:vAlign w:val="center"/>
          </w:tcPr>
          <w:p w14:paraId="275157D3">
            <w:pPr>
              <w:widowControl/>
              <w:jc w:val="left"/>
              <w:rPr>
                <w:rFonts w:hint="eastAsia" w:ascii="宋体" w:hAnsi="宋体" w:cs="宋体"/>
                <w:kern w:val="0"/>
                <w:sz w:val="21"/>
                <w:szCs w:val="21"/>
              </w:rPr>
            </w:pPr>
            <w:r>
              <w:rPr>
                <w:rFonts w:hint="eastAsia" w:ascii="宋体" w:hAnsi="宋体" w:cs="宋体"/>
                <w:kern w:val="0"/>
                <w:sz w:val="21"/>
                <w:szCs w:val="21"/>
              </w:rPr>
              <w:t>高可用</w:t>
            </w:r>
          </w:p>
        </w:tc>
        <w:tc>
          <w:tcPr>
            <w:tcW w:w="5620" w:type="dxa"/>
            <w:shd w:val="clear" w:color="000000" w:fill="FFFFFF"/>
            <w:vAlign w:val="center"/>
          </w:tcPr>
          <w:p w14:paraId="76A30135">
            <w:pPr>
              <w:widowControl/>
              <w:jc w:val="left"/>
              <w:rPr>
                <w:rFonts w:hint="eastAsia" w:ascii="宋体" w:hAnsi="宋体" w:cs="宋体"/>
                <w:kern w:val="0"/>
                <w:sz w:val="21"/>
                <w:szCs w:val="21"/>
              </w:rPr>
            </w:pPr>
            <w:r>
              <w:rPr>
                <w:rFonts w:hint="eastAsia" w:ascii="宋体" w:hAnsi="宋体" w:cs="宋体"/>
                <w:kern w:val="0"/>
                <w:sz w:val="21"/>
                <w:szCs w:val="21"/>
              </w:rPr>
              <w:t>支持双机热备部署方式，支持配置同步、会话同步、会话保持表的同步，实现无缝故障切换</w:t>
            </w:r>
          </w:p>
        </w:tc>
      </w:tr>
      <w:tr w14:paraId="0786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4727F3A2">
            <w:pPr>
              <w:widowControl/>
              <w:jc w:val="left"/>
              <w:rPr>
                <w:rFonts w:hint="eastAsia" w:ascii="宋体" w:hAnsi="宋体" w:cs="宋体"/>
                <w:kern w:val="0"/>
                <w:sz w:val="21"/>
                <w:szCs w:val="21"/>
              </w:rPr>
            </w:pPr>
          </w:p>
        </w:tc>
        <w:tc>
          <w:tcPr>
            <w:tcW w:w="1040" w:type="dxa"/>
            <w:vMerge w:val="continue"/>
            <w:vAlign w:val="center"/>
          </w:tcPr>
          <w:p w14:paraId="62BA5B53">
            <w:pPr>
              <w:widowControl/>
              <w:jc w:val="left"/>
              <w:rPr>
                <w:rFonts w:hint="eastAsia" w:ascii="宋体" w:hAnsi="宋体" w:cs="宋体"/>
                <w:kern w:val="0"/>
                <w:sz w:val="21"/>
                <w:szCs w:val="21"/>
              </w:rPr>
            </w:pPr>
          </w:p>
        </w:tc>
        <w:tc>
          <w:tcPr>
            <w:tcW w:w="1400" w:type="dxa"/>
            <w:vMerge w:val="continue"/>
            <w:vAlign w:val="center"/>
          </w:tcPr>
          <w:p w14:paraId="224E7850">
            <w:pPr>
              <w:widowControl/>
              <w:jc w:val="left"/>
              <w:rPr>
                <w:rFonts w:hint="eastAsia" w:ascii="宋体" w:hAnsi="宋体" w:cs="宋体"/>
                <w:kern w:val="0"/>
                <w:sz w:val="21"/>
                <w:szCs w:val="21"/>
              </w:rPr>
            </w:pPr>
          </w:p>
        </w:tc>
        <w:tc>
          <w:tcPr>
            <w:tcW w:w="5620" w:type="dxa"/>
            <w:shd w:val="clear" w:color="000000" w:fill="FFFFFF"/>
            <w:vAlign w:val="center"/>
          </w:tcPr>
          <w:p w14:paraId="376A63E3">
            <w:pPr>
              <w:widowControl/>
              <w:jc w:val="left"/>
              <w:rPr>
                <w:rFonts w:hint="eastAsia" w:ascii="宋体" w:hAnsi="宋体" w:cs="宋体"/>
                <w:kern w:val="0"/>
                <w:sz w:val="21"/>
                <w:szCs w:val="21"/>
              </w:rPr>
            </w:pPr>
            <w:r>
              <w:rPr>
                <w:rFonts w:hint="eastAsia" w:ascii="宋体" w:hAnsi="宋体" w:cs="宋体"/>
                <w:kern w:val="0"/>
                <w:sz w:val="21"/>
                <w:szCs w:val="21"/>
              </w:rPr>
              <w:t>支持高可用集群部署方式，支持自动、手动配置同步，支持会话同步，实现无缝故障切换，集群设备之间进行证书认证，保证集群设备通信安全</w:t>
            </w:r>
          </w:p>
        </w:tc>
      </w:tr>
      <w:tr w14:paraId="146C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B305D51">
            <w:pPr>
              <w:widowControl/>
              <w:jc w:val="left"/>
              <w:rPr>
                <w:rFonts w:hint="eastAsia" w:ascii="宋体" w:hAnsi="宋体" w:cs="宋体"/>
                <w:kern w:val="0"/>
                <w:sz w:val="21"/>
                <w:szCs w:val="21"/>
              </w:rPr>
            </w:pPr>
          </w:p>
        </w:tc>
        <w:tc>
          <w:tcPr>
            <w:tcW w:w="1040" w:type="dxa"/>
            <w:vMerge w:val="continue"/>
            <w:vAlign w:val="center"/>
          </w:tcPr>
          <w:p w14:paraId="6978D04E">
            <w:pPr>
              <w:widowControl/>
              <w:jc w:val="left"/>
              <w:rPr>
                <w:rFonts w:hint="eastAsia" w:ascii="宋体" w:hAnsi="宋体" w:cs="宋体"/>
                <w:kern w:val="0"/>
                <w:sz w:val="21"/>
                <w:szCs w:val="21"/>
              </w:rPr>
            </w:pPr>
          </w:p>
        </w:tc>
        <w:tc>
          <w:tcPr>
            <w:tcW w:w="1400" w:type="dxa"/>
            <w:vMerge w:val="continue"/>
            <w:vAlign w:val="center"/>
          </w:tcPr>
          <w:p w14:paraId="5ADC1F0B">
            <w:pPr>
              <w:widowControl/>
              <w:jc w:val="left"/>
              <w:rPr>
                <w:rFonts w:hint="eastAsia" w:ascii="宋体" w:hAnsi="宋体" w:cs="宋体"/>
                <w:kern w:val="0"/>
                <w:sz w:val="21"/>
                <w:szCs w:val="21"/>
              </w:rPr>
            </w:pPr>
          </w:p>
        </w:tc>
        <w:tc>
          <w:tcPr>
            <w:tcW w:w="5620" w:type="dxa"/>
            <w:shd w:val="clear" w:color="000000" w:fill="FFFFFF"/>
            <w:vAlign w:val="center"/>
          </w:tcPr>
          <w:p w14:paraId="499FD99D">
            <w:pPr>
              <w:widowControl/>
              <w:jc w:val="left"/>
              <w:rPr>
                <w:rFonts w:hint="eastAsia" w:ascii="宋体" w:hAnsi="宋体" w:cs="宋体"/>
                <w:kern w:val="0"/>
                <w:sz w:val="21"/>
                <w:szCs w:val="21"/>
              </w:rPr>
            </w:pPr>
            <w:r>
              <w:rPr>
                <w:rFonts w:hint="eastAsia" w:ascii="宋体" w:hAnsi="宋体" w:cs="宋体"/>
                <w:kern w:val="0"/>
                <w:sz w:val="21"/>
                <w:szCs w:val="21"/>
              </w:rPr>
              <w:t>高可用模式可独立配置会话保持同步和连接镜像；</w:t>
            </w:r>
          </w:p>
        </w:tc>
      </w:tr>
      <w:tr w14:paraId="148D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20" w:type="dxa"/>
            <w:vMerge w:val="continue"/>
            <w:vAlign w:val="center"/>
          </w:tcPr>
          <w:p w14:paraId="166443A9">
            <w:pPr>
              <w:widowControl/>
              <w:jc w:val="left"/>
              <w:rPr>
                <w:rFonts w:hint="eastAsia" w:ascii="宋体" w:hAnsi="宋体" w:cs="宋体"/>
                <w:kern w:val="0"/>
                <w:sz w:val="21"/>
                <w:szCs w:val="21"/>
              </w:rPr>
            </w:pPr>
          </w:p>
        </w:tc>
        <w:tc>
          <w:tcPr>
            <w:tcW w:w="1040" w:type="dxa"/>
            <w:vMerge w:val="continue"/>
            <w:vAlign w:val="center"/>
          </w:tcPr>
          <w:p w14:paraId="1F84776C">
            <w:pPr>
              <w:widowControl/>
              <w:jc w:val="left"/>
              <w:rPr>
                <w:rFonts w:hint="eastAsia" w:ascii="宋体" w:hAnsi="宋体" w:cs="宋体"/>
                <w:kern w:val="0"/>
                <w:sz w:val="21"/>
                <w:szCs w:val="21"/>
              </w:rPr>
            </w:pPr>
          </w:p>
        </w:tc>
        <w:tc>
          <w:tcPr>
            <w:tcW w:w="1400" w:type="dxa"/>
            <w:shd w:val="clear" w:color="auto" w:fill="auto"/>
            <w:vAlign w:val="center"/>
          </w:tcPr>
          <w:p w14:paraId="37E63996">
            <w:pPr>
              <w:widowControl/>
              <w:jc w:val="left"/>
              <w:rPr>
                <w:rFonts w:hint="eastAsia" w:ascii="宋体" w:hAnsi="宋体" w:cs="宋体"/>
                <w:kern w:val="0"/>
                <w:sz w:val="21"/>
                <w:szCs w:val="21"/>
              </w:rPr>
            </w:pPr>
            <w:r>
              <w:rPr>
                <w:rFonts w:hint="eastAsia" w:ascii="宋体" w:hAnsi="宋体" w:cs="宋体"/>
                <w:kern w:val="0"/>
                <w:sz w:val="21"/>
                <w:szCs w:val="21"/>
              </w:rPr>
              <w:t>SSL卸载</w:t>
            </w:r>
          </w:p>
        </w:tc>
        <w:tc>
          <w:tcPr>
            <w:tcW w:w="5620" w:type="dxa"/>
            <w:shd w:val="clear" w:color="000000" w:fill="FFFFFF"/>
            <w:vAlign w:val="center"/>
          </w:tcPr>
          <w:p w14:paraId="163BF0AF">
            <w:pPr>
              <w:widowControl/>
              <w:jc w:val="left"/>
              <w:rPr>
                <w:rFonts w:hint="eastAsia" w:ascii="宋体" w:hAnsi="宋体" w:cs="宋体"/>
                <w:kern w:val="0"/>
                <w:sz w:val="21"/>
                <w:szCs w:val="21"/>
              </w:rPr>
            </w:pPr>
            <w:r>
              <w:rPr>
                <w:rFonts w:hint="eastAsia" w:ascii="宋体" w:hAnsi="宋体" w:cs="宋体"/>
                <w:kern w:val="0"/>
                <w:sz w:val="21"/>
                <w:szCs w:val="21"/>
              </w:rPr>
              <w:t>支持TLS1.3算法，并完整支持对应的TLS1.3_AES_128_GCM_SHA256、TLS1.3_AES_256_GCM_SHA384、TLS1.3_CHACHA20_POLY1305_SHA256、TLS1.3_AES_128_CCM_SHA256、TLS1.3_AES_128_CCM_8_SHA256加密套件；（提供设备操作界面截图证明材料）</w:t>
            </w:r>
          </w:p>
        </w:tc>
      </w:tr>
      <w:tr w14:paraId="06C3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4C88B96">
            <w:pPr>
              <w:widowControl/>
              <w:jc w:val="left"/>
              <w:rPr>
                <w:rFonts w:hint="eastAsia" w:ascii="宋体" w:hAnsi="宋体" w:cs="宋体"/>
                <w:kern w:val="0"/>
                <w:sz w:val="21"/>
                <w:szCs w:val="21"/>
              </w:rPr>
            </w:pPr>
          </w:p>
        </w:tc>
        <w:tc>
          <w:tcPr>
            <w:tcW w:w="1040" w:type="dxa"/>
            <w:vMerge w:val="continue"/>
            <w:vAlign w:val="center"/>
          </w:tcPr>
          <w:p w14:paraId="1C9FBF8D">
            <w:pPr>
              <w:widowControl/>
              <w:jc w:val="left"/>
              <w:rPr>
                <w:rFonts w:hint="eastAsia" w:ascii="宋体" w:hAnsi="宋体" w:cs="宋体"/>
                <w:kern w:val="0"/>
                <w:sz w:val="21"/>
                <w:szCs w:val="21"/>
              </w:rPr>
            </w:pPr>
          </w:p>
        </w:tc>
        <w:tc>
          <w:tcPr>
            <w:tcW w:w="1400" w:type="dxa"/>
            <w:vMerge w:val="restart"/>
            <w:shd w:val="clear" w:color="auto" w:fill="auto"/>
            <w:vAlign w:val="center"/>
          </w:tcPr>
          <w:p w14:paraId="378457B2">
            <w:pPr>
              <w:widowControl/>
              <w:jc w:val="left"/>
              <w:rPr>
                <w:rFonts w:hint="eastAsia" w:ascii="宋体" w:hAnsi="宋体" w:cs="宋体"/>
                <w:kern w:val="0"/>
                <w:sz w:val="21"/>
                <w:szCs w:val="21"/>
              </w:rPr>
            </w:pPr>
            <w:r>
              <w:rPr>
                <w:rFonts w:hint="eastAsia" w:ascii="宋体" w:hAnsi="宋体" w:cs="宋体"/>
                <w:kern w:val="0"/>
                <w:sz w:val="21"/>
                <w:szCs w:val="21"/>
              </w:rPr>
              <w:t>服务器负载均衡</w:t>
            </w:r>
          </w:p>
        </w:tc>
        <w:tc>
          <w:tcPr>
            <w:tcW w:w="5620" w:type="dxa"/>
            <w:shd w:val="clear" w:color="000000" w:fill="FFFFFF"/>
            <w:vAlign w:val="center"/>
          </w:tcPr>
          <w:p w14:paraId="6B25087A">
            <w:pPr>
              <w:widowControl/>
              <w:jc w:val="left"/>
              <w:rPr>
                <w:rFonts w:hint="eastAsia" w:ascii="宋体" w:hAnsi="宋体" w:cs="宋体"/>
                <w:kern w:val="0"/>
                <w:sz w:val="21"/>
                <w:szCs w:val="21"/>
              </w:rPr>
            </w:pPr>
            <w:r>
              <w:rPr>
                <w:rFonts w:hint="eastAsia" w:ascii="宋体" w:hAnsi="宋体" w:cs="宋体"/>
                <w:kern w:val="0"/>
                <w:sz w:val="21"/>
                <w:szCs w:val="21"/>
              </w:rPr>
              <w:t>支持L4、L7负载均衡，支持轮询、加权轮询、最小连接、加权最小连接、IP哈希、最快响应、IP端口哈希、优先权、URL哈希等均衡算法</w:t>
            </w:r>
          </w:p>
        </w:tc>
      </w:tr>
      <w:tr w14:paraId="6C9E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418F0AE">
            <w:pPr>
              <w:widowControl/>
              <w:jc w:val="left"/>
              <w:rPr>
                <w:rFonts w:hint="eastAsia" w:ascii="宋体" w:hAnsi="宋体" w:cs="宋体"/>
                <w:kern w:val="0"/>
                <w:sz w:val="21"/>
                <w:szCs w:val="21"/>
              </w:rPr>
            </w:pPr>
          </w:p>
        </w:tc>
        <w:tc>
          <w:tcPr>
            <w:tcW w:w="1040" w:type="dxa"/>
            <w:vMerge w:val="continue"/>
            <w:vAlign w:val="center"/>
          </w:tcPr>
          <w:p w14:paraId="4BD60765">
            <w:pPr>
              <w:widowControl/>
              <w:jc w:val="left"/>
              <w:rPr>
                <w:rFonts w:hint="eastAsia" w:ascii="宋体" w:hAnsi="宋体" w:cs="宋体"/>
                <w:kern w:val="0"/>
                <w:sz w:val="21"/>
                <w:szCs w:val="21"/>
              </w:rPr>
            </w:pPr>
          </w:p>
        </w:tc>
        <w:tc>
          <w:tcPr>
            <w:tcW w:w="1400" w:type="dxa"/>
            <w:vMerge w:val="continue"/>
            <w:vAlign w:val="center"/>
          </w:tcPr>
          <w:p w14:paraId="6CE692C4">
            <w:pPr>
              <w:widowControl/>
              <w:jc w:val="left"/>
              <w:rPr>
                <w:rFonts w:hint="eastAsia" w:ascii="宋体" w:hAnsi="宋体" w:cs="宋体"/>
                <w:kern w:val="0"/>
                <w:sz w:val="21"/>
                <w:szCs w:val="21"/>
              </w:rPr>
            </w:pPr>
          </w:p>
        </w:tc>
        <w:tc>
          <w:tcPr>
            <w:tcW w:w="5620" w:type="dxa"/>
            <w:shd w:val="clear" w:color="000000" w:fill="FFFFFF"/>
            <w:vAlign w:val="center"/>
          </w:tcPr>
          <w:p w14:paraId="64996AAD">
            <w:pPr>
              <w:widowControl/>
              <w:jc w:val="left"/>
              <w:rPr>
                <w:rFonts w:hint="eastAsia" w:ascii="宋体" w:hAnsi="宋体" w:cs="宋体"/>
                <w:kern w:val="0"/>
                <w:sz w:val="21"/>
                <w:szCs w:val="21"/>
              </w:rPr>
            </w:pPr>
            <w:r>
              <w:rPr>
                <w:rFonts w:hint="eastAsia" w:ascii="宋体" w:hAnsi="宋体" w:cs="宋体"/>
                <w:kern w:val="0"/>
                <w:sz w:val="21"/>
                <w:szCs w:val="21"/>
              </w:rPr>
              <w:t>支持会话保持，包括源IP、目的IP、Cookie 哈希、SSL ID等会话保持算法</w:t>
            </w:r>
          </w:p>
        </w:tc>
      </w:tr>
      <w:tr w14:paraId="7A74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0" w:type="dxa"/>
            <w:vMerge w:val="continue"/>
            <w:vAlign w:val="center"/>
          </w:tcPr>
          <w:p w14:paraId="145F1FAD">
            <w:pPr>
              <w:widowControl/>
              <w:jc w:val="left"/>
              <w:rPr>
                <w:rFonts w:hint="eastAsia" w:ascii="宋体" w:hAnsi="宋体" w:cs="宋体"/>
                <w:kern w:val="0"/>
                <w:sz w:val="21"/>
                <w:szCs w:val="21"/>
              </w:rPr>
            </w:pPr>
          </w:p>
        </w:tc>
        <w:tc>
          <w:tcPr>
            <w:tcW w:w="1040" w:type="dxa"/>
            <w:vMerge w:val="continue"/>
            <w:vAlign w:val="center"/>
          </w:tcPr>
          <w:p w14:paraId="204EDE3B">
            <w:pPr>
              <w:widowControl/>
              <w:jc w:val="left"/>
              <w:rPr>
                <w:rFonts w:hint="eastAsia" w:ascii="宋体" w:hAnsi="宋体" w:cs="宋体"/>
                <w:kern w:val="0"/>
                <w:sz w:val="21"/>
                <w:szCs w:val="21"/>
              </w:rPr>
            </w:pPr>
          </w:p>
        </w:tc>
        <w:tc>
          <w:tcPr>
            <w:tcW w:w="1400" w:type="dxa"/>
            <w:vMerge w:val="continue"/>
            <w:vAlign w:val="center"/>
          </w:tcPr>
          <w:p w14:paraId="0CB0419F">
            <w:pPr>
              <w:widowControl/>
              <w:jc w:val="left"/>
              <w:rPr>
                <w:rFonts w:hint="eastAsia" w:ascii="宋体" w:hAnsi="宋体" w:cs="宋体"/>
                <w:kern w:val="0"/>
                <w:sz w:val="21"/>
                <w:szCs w:val="21"/>
              </w:rPr>
            </w:pPr>
          </w:p>
        </w:tc>
        <w:tc>
          <w:tcPr>
            <w:tcW w:w="5620" w:type="dxa"/>
            <w:shd w:val="clear" w:color="000000" w:fill="FFFFFF"/>
            <w:vAlign w:val="center"/>
          </w:tcPr>
          <w:p w14:paraId="60D22F7A">
            <w:pPr>
              <w:widowControl/>
              <w:jc w:val="left"/>
              <w:rPr>
                <w:rFonts w:hint="eastAsia" w:ascii="宋体" w:hAnsi="宋体" w:cs="宋体"/>
                <w:kern w:val="0"/>
                <w:sz w:val="21"/>
                <w:szCs w:val="21"/>
              </w:rPr>
            </w:pPr>
            <w:r>
              <w:rPr>
                <w:rFonts w:hint="eastAsia" w:ascii="宋体" w:hAnsi="宋体" w:cs="宋体"/>
                <w:kern w:val="0"/>
                <w:sz w:val="21"/>
                <w:szCs w:val="21"/>
              </w:rPr>
              <w:t>网页优化：图片优化通过对图片格式的转换，减少传输流量，提升web页面加载速度。无需改动服务器端的图片源文件，可根据浏览器种类自动识别转换类型，将图片转换为对应支持的WebP或JPEG格式，优化加速效果</w:t>
            </w:r>
          </w:p>
        </w:tc>
      </w:tr>
      <w:tr w14:paraId="6EF0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759155E">
            <w:pPr>
              <w:widowControl/>
              <w:jc w:val="left"/>
              <w:rPr>
                <w:rFonts w:hint="eastAsia" w:ascii="宋体" w:hAnsi="宋体" w:cs="宋体"/>
                <w:kern w:val="0"/>
                <w:sz w:val="21"/>
                <w:szCs w:val="21"/>
              </w:rPr>
            </w:pPr>
          </w:p>
        </w:tc>
        <w:tc>
          <w:tcPr>
            <w:tcW w:w="1040" w:type="dxa"/>
            <w:vMerge w:val="continue"/>
            <w:vAlign w:val="center"/>
          </w:tcPr>
          <w:p w14:paraId="0F959749">
            <w:pPr>
              <w:widowControl/>
              <w:jc w:val="left"/>
              <w:rPr>
                <w:rFonts w:hint="eastAsia" w:ascii="宋体" w:hAnsi="宋体" w:cs="宋体"/>
                <w:kern w:val="0"/>
                <w:sz w:val="21"/>
                <w:szCs w:val="21"/>
              </w:rPr>
            </w:pPr>
          </w:p>
        </w:tc>
        <w:tc>
          <w:tcPr>
            <w:tcW w:w="1400" w:type="dxa"/>
            <w:vMerge w:val="continue"/>
            <w:vAlign w:val="center"/>
          </w:tcPr>
          <w:p w14:paraId="78D980B7">
            <w:pPr>
              <w:widowControl/>
              <w:jc w:val="left"/>
              <w:rPr>
                <w:rFonts w:hint="eastAsia" w:ascii="宋体" w:hAnsi="宋体" w:cs="宋体"/>
                <w:kern w:val="0"/>
                <w:sz w:val="21"/>
                <w:szCs w:val="21"/>
              </w:rPr>
            </w:pPr>
          </w:p>
        </w:tc>
        <w:tc>
          <w:tcPr>
            <w:tcW w:w="5620" w:type="dxa"/>
            <w:shd w:val="clear" w:color="000000" w:fill="FFFFFF"/>
            <w:vAlign w:val="center"/>
          </w:tcPr>
          <w:p w14:paraId="4B2BEB55">
            <w:pPr>
              <w:widowControl/>
              <w:jc w:val="left"/>
              <w:rPr>
                <w:rFonts w:hint="eastAsia" w:ascii="宋体" w:hAnsi="宋体" w:cs="宋体"/>
                <w:kern w:val="0"/>
                <w:sz w:val="21"/>
                <w:szCs w:val="21"/>
              </w:rPr>
            </w:pPr>
            <w:r>
              <w:rPr>
                <w:rFonts w:hint="eastAsia" w:ascii="宋体" w:hAnsi="宋体" w:cs="宋体"/>
                <w:kern w:val="0"/>
                <w:sz w:val="21"/>
                <w:szCs w:val="21"/>
              </w:rPr>
              <w:t>支持网站进行IPv6改造时，页面首页展示IPv6标识</w:t>
            </w:r>
          </w:p>
        </w:tc>
      </w:tr>
      <w:tr w14:paraId="3F47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9AF031E">
            <w:pPr>
              <w:widowControl/>
              <w:jc w:val="left"/>
              <w:rPr>
                <w:rFonts w:hint="eastAsia" w:ascii="宋体" w:hAnsi="宋体" w:cs="宋体"/>
                <w:kern w:val="0"/>
                <w:sz w:val="21"/>
                <w:szCs w:val="21"/>
              </w:rPr>
            </w:pPr>
          </w:p>
        </w:tc>
        <w:tc>
          <w:tcPr>
            <w:tcW w:w="1040" w:type="dxa"/>
            <w:vMerge w:val="continue"/>
            <w:vAlign w:val="center"/>
          </w:tcPr>
          <w:p w14:paraId="1A175943">
            <w:pPr>
              <w:widowControl/>
              <w:jc w:val="left"/>
              <w:rPr>
                <w:rFonts w:hint="eastAsia" w:ascii="宋体" w:hAnsi="宋体" w:cs="宋体"/>
                <w:kern w:val="0"/>
                <w:sz w:val="21"/>
                <w:szCs w:val="21"/>
              </w:rPr>
            </w:pPr>
          </w:p>
        </w:tc>
        <w:tc>
          <w:tcPr>
            <w:tcW w:w="1400" w:type="dxa"/>
            <w:vMerge w:val="continue"/>
            <w:vAlign w:val="center"/>
          </w:tcPr>
          <w:p w14:paraId="0CC81E22">
            <w:pPr>
              <w:widowControl/>
              <w:jc w:val="left"/>
              <w:rPr>
                <w:rFonts w:hint="eastAsia" w:ascii="宋体" w:hAnsi="宋体" w:cs="宋体"/>
                <w:kern w:val="0"/>
                <w:sz w:val="21"/>
                <w:szCs w:val="21"/>
              </w:rPr>
            </w:pPr>
          </w:p>
        </w:tc>
        <w:tc>
          <w:tcPr>
            <w:tcW w:w="5620" w:type="dxa"/>
            <w:shd w:val="clear" w:color="000000" w:fill="FFFFFF"/>
            <w:vAlign w:val="center"/>
          </w:tcPr>
          <w:p w14:paraId="7438BA11">
            <w:pPr>
              <w:widowControl/>
              <w:jc w:val="left"/>
              <w:rPr>
                <w:rFonts w:hint="eastAsia" w:ascii="宋体" w:hAnsi="宋体" w:cs="宋体"/>
                <w:kern w:val="0"/>
                <w:sz w:val="21"/>
                <w:szCs w:val="21"/>
              </w:rPr>
            </w:pPr>
            <w:r>
              <w:rPr>
                <w:rFonts w:hint="eastAsia" w:ascii="宋体" w:hAnsi="宋体" w:cs="宋体"/>
                <w:kern w:val="0"/>
                <w:sz w:val="21"/>
                <w:szCs w:val="21"/>
              </w:rPr>
              <w:t>支持在同一个虚拟服务下同时配置多个IPv4和IPv6地址</w:t>
            </w:r>
          </w:p>
        </w:tc>
      </w:tr>
      <w:tr w14:paraId="4BE7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250F304D">
            <w:pPr>
              <w:widowControl/>
              <w:jc w:val="left"/>
              <w:rPr>
                <w:rFonts w:hint="eastAsia" w:ascii="宋体" w:hAnsi="宋体" w:cs="宋体"/>
                <w:kern w:val="0"/>
                <w:sz w:val="21"/>
                <w:szCs w:val="21"/>
              </w:rPr>
            </w:pPr>
          </w:p>
        </w:tc>
        <w:tc>
          <w:tcPr>
            <w:tcW w:w="1040" w:type="dxa"/>
            <w:vMerge w:val="continue"/>
            <w:vAlign w:val="center"/>
          </w:tcPr>
          <w:p w14:paraId="52BCCB0B">
            <w:pPr>
              <w:widowControl/>
              <w:jc w:val="left"/>
              <w:rPr>
                <w:rFonts w:hint="eastAsia" w:ascii="宋体" w:hAnsi="宋体" w:cs="宋体"/>
                <w:kern w:val="0"/>
                <w:sz w:val="21"/>
                <w:szCs w:val="21"/>
              </w:rPr>
            </w:pPr>
          </w:p>
        </w:tc>
        <w:tc>
          <w:tcPr>
            <w:tcW w:w="1400" w:type="dxa"/>
            <w:vMerge w:val="continue"/>
            <w:vAlign w:val="center"/>
          </w:tcPr>
          <w:p w14:paraId="2FC6535E">
            <w:pPr>
              <w:widowControl/>
              <w:jc w:val="left"/>
              <w:rPr>
                <w:rFonts w:hint="eastAsia" w:ascii="宋体" w:hAnsi="宋体" w:cs="宋体"/>
                <w:kern w:val="0"/>
                <w:sz w:val="21"/>
                <w:szCs w:val="21"/>
              </w:rPr>
            </w:pPr>
          </w:p>
        </w:tc>
        <w:tc>
          <w:tcPr>
            <w:tcW w:w="5620" w:type="dxa"/>
            <w:shd w:val="clear" w:color="000000" w:fill="FFFFFF"/>
            <w:vAlign w:val="center"/>
          </w:tcPr>
          <w:p w14:paraId="667905FA">
            <w:pPr>
              <w:widowControl/>
              <w:jc w:val="left"/>
              <w:rPr>
                <w:rFonts w:hint="eastAsia" w:ascii="宋体" w:hAnsi="宋体" w:cs="宋体"/>
                <w:kern w:val="0"/>
                <w:sz w:val="21"/>
                <w:szCs w:val="21"/>
              </w:rPr>
            </w:pPr>
            <w:r>
              <w:rPr>
                <w:rFonts w:hint="eastAsia" w:ascii="宋体" w:hAnsi="宋体" w:cs="宋体"/>
                <w:kern w:val="0"/>
                <w:sz w:val="21"/>
                <w:szCs w:val="21"/>
              </w:rPr>
              <w:t>支持模拟健康监测功能，无需完成真实的业务配置即可提前采用icmp、http、https、tcp、ftp、MYSQL、LDAP以及dns等的健康检查方式模拟检查业务的健康状态；（提供设备操作界面截图证明材料）</w:t>
            </w:r>
          </w:p>
        </w:tc>
      </w:tr>
      <w:tr w14:paraId="7C86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0337D58">
            <w:pPr>
              <w:widowControl/>
              <w:jc w:val="left"/>
              <w:rPr>
                <w:rFonts w:hint="eastAsia" w:ascii="宋体" w:hAnsi="宋体" w:cs="宋体"/>
                <w:kern w:val="0"/>
                <w:sz w:val="21"/>
                <w:szCs w:val="21"/>
              </w:rPr>
            </w:pPr>
          </w:p>
        </w:tc>
        <w:tc>
          <w:tcPr>
            <w:tcW w:w="1040" w:type="dxa"/>
            <w:vMerge w:val="continue"/>
            <w:vAlign w:val="center"/>
          </w:tcPr>
          <w:p w14:paraId="525C3883">
            <w:pPr>
              <w:widowControl/>
              <w:jc w:val="left"/>
              <w:rPr>
                <w:rFonts w:hint="eastAsia" w:ascii="宋体" w:hAnsi="宋体" w:cs="宋体"/>
                <w:kern w:val="0"/>
                <w:sz w:val="21"/>
                <w:szCs w:val="21"/>
              </w:rPr>
            </w:pPr>
          </w:p>
        </w:tc>
        <w:tc>
          <w:tcPr>
            <w:tcW w:w="1400" w:type="dxa"/>
            <w:vMerge w:val="restart"/>
            <w:shd w:val="clear" w:color="auto" w:fill="auto"/>
            <w:vAlign w:val="center"/>
          </w:tcPr>
          <w:p w14:paraId="36F0E57D">
            <w:pPr>
              <w:widowControl/>
              <w:jc w:val="left"/>
              <w:rPr>
                <w:rFonts w:hint="eastAsia" w:ascii="宋体" w:hAnsi="宋体" w:cs="宋体"/>
                <w:kern w:val="0"/>
                <w:sz w:val="21"/>
                <w:szCs w:val="21"/>
              </w:rPr>
            </w:pPr>
            <w:r>
              <w:rPr>
                <w:rFonts w:hint="eastAsia" w:ascii="宋体" w:hAnsi="宋体" w:cs="宋体"/>
                <w:kern w:val="0"/>
                <w:sz w:val="21"/>
                <w:szCs w:val="21"/>
              </w:rPr>
              <w:t>运维管理</w:t>
            </w:r>
          </w:p>
        </w:tc>
        <w:tc>
          <w:tcPr>
            <w:tcW w:w="5620" w:type="dxa"/>
            <w:shd w:val="clear" w:color="000000" w:fill="FFFFFF"/>
            <w:vAlign w:val="center"/>
          </w:tcPr>
          <w:p w14:paraId="52A0C3DA">
            <w:pPr>
              <w:widowControl/>
              <w:jc w:val="left"/>
              <w:rPr>
                <w:rFonts w:hint="eastAsia" w:ascii="宋体" w:hAnsi="宋体" w:cs="宋体"/>
                <w:kern w:val="0"/>
                <w:sz w:val="21"/>
                <w:szCs w:val="21"/>
              </w:rPr>
            </w:pPr>
            <w:r>
              <w:rPr>
                <w:rFonts w:hint="eastAsia" w:ascii="宋体" w:hAnsi="宋体" w:cs="宋体"/>
                <w:kern w:val="0"/>
                <w:sz w:val="21"/>
                <w:szCs w:val="21"/>
              </w:rPr>
              <w:t>支持发送中文和英文的Syslog日志（提供设备操作界面截图证明材料）</w:t>
            </w:r>
          </w:p>
        </w:tc>
      </w:tr>
      <w:tr w14:paraId="7E8E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4960389F">
            <w:pPr>
              <w:widowControl/>
              <w:jc w:val="left"/>
              <w:rPr>
                <w:rFonts w:hint="eastAsia" w:ascii="宋体" w:hAnsi="宋体" w:cs="宋体"/>
                <w:kern w:val="0"/>
                <w:sz w:val="21"/>
                <w:szCs w:val="21"/>
              </w:rPr>
            </w:pPr>
          </w:p>
        </w:tc>
        <w:tc>
          <w:tcPr>
            <w:tcW w:w="1040" w:type="dxa"/>
            <w:vMerge w:val="continue"/>
            <w:vAlign w:val="center"/>
          </w:tcPr>
          <w:p w14:paraId="0B691471">
            <w:pPr>
              <w:widowControl/>
              <w:jc w:val="left"/>
              <w:rPr>
                <w:rFonts w:hint="eastAsia" w:ascii="宋体" w:hAnsi="宋体" w:cs="宋体"/>
                <w:kern w:val="0"/>
                <w:sz w:val="21"/>
                <w:szCs w:val="21"/>
              </w:rPr>
            </w:pPr>
          </w:p>
        </w:tc>
        <w:tc>
          <w:tcPr>
            <w:tcW w:w="1400" w:type="dxa"/>
            <w:vMerge w:val="continue"/>
            <w:vAlign w:val="center"/>
          </w:tcPr>
          <w:p w14:paraId="5941DD02">
            <w:pPr>
              <w:widowControl/>
              <w:jc w:val="left"/>
              <w:rPr>
                <w:rFonts w:hint="eastAsia" w:ascii="宋体" w:hAnsi="宋体" w:cs="宋体"/>
                <w:kern w:val="0"/>
                <w:sz w:val="21"/>
                <w:szCs w:val="21"/>
              </w:rPr>
            </w:pPr>
          </w:p>
        </w:tc>
        <w:tc>
          <w:tcPr>
            <w:tcW w:w="5620" w:type="dxa"/>
            <w:shd w:val="clear" w:color="000000" w:fill="FFFFFF"/>
            <w:vAlign w:val="center"/>
          </w:tcPr>
          <w:p w14:paraId="4EC88B23">
            <w:pPr>
              <w:widowControl/>
              <w:jc w:val="left"/>
              <w:rPr>
                <w:rFonts w:hint="eastAsia" w:ascii="宋体" w:hAnsi="宋体" w:cs="宋体"/>
                <w:kern w:val="0"/>
                <w:sz w:val="21"/>
                <w:szCs w:val="21"/>
              </w:rPr>
            </w:pPr>
            <w:r>
              <w:rPr>
                <w:rFonts w:hint="eastAsia" w:ascii="宋体" w:hAnsi="宋体" w:cs="宋体"/>
                <w:kern w:val="0"/>
                <w:sz w:val="21"/>
                <w:szCs w:val="21"/>
              </w:rPr>
              <w:t>支持链路负载均衡信息大屏展示页面，在同一个界面能够展示链路实时状态，包括：上下行流量、流量的应用类型占比、吞吐、新建连接、并发连接等。</w:t>
            </w:r>
          </w:p>
        </w:tc>
      </w:tr>
      <w:tr w14:paraId="2B81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42F96A7C">
            <w:pPr>
              <w:widowControl/>
              <w:jc w:val="left"/>
              <w:rPr>
                <w:rFonts w:hint="eastAsia" w:ascii="宋体" w:hAnsi="宋体" w:cs="宋体"/>
                <w:kern w:val="0"/>
                <w:sz w:val="21"/>
                <w:szCs w:val="21"/>
              </w:rPr>
            </w:pPr>
          </w:p>
        </w:tc>
        <w:tc>
          <w:tcPr>
            <w:tcW w:w="1040" w:type="dxa"/>
            <w:vMerge w:val="continue"/>
            <w:vAlign w:val="center"/>
          </w:tcPr>
          <w:p w14:paraId="7576FC1F">
            <w:pPr>
              <w:widowControl/>
              <w:jc w:val="left"/>
              <w:rPr>
                <w:rFonts w:hint="eastAsia" w:ascii="宋体" w:hAnsi="宋体" w:cs="宋体"/>
                <w:kern w:val="0"/>
                <w:sz w:val="21"/>
                <w:szCs w:val="21"/>
              </w:rPr>
            </w:pPr>
          </w:p>
        </w:tc>
        <w:tc>
          <w:tcPr>
            <w:tcW w:w="1400" w:type="dxa"/>
            <w:vMerge w:val="continue"/>
            <w:vAlign w:val="center"/>
          </w:tcPr>
          <w:p w14:paraId="70B332BC">
            <w:pPr>
              <w:widowControl/>
              <w:jc w:val="left"/>
              <w:rPr>
                <w:rFonts w:hint="eastAsia" w:ascii="宋体" w:hAnsi="宋体" w:cs="宋体"/>
                <w:kern w:val="0"/>
                <w:sz w:val="21"/>
                <w:szCs w:val="21"/>
              </w:rPr>
            </w:pPr>
          </w:p>
        </w:tc>
        <w:tc>
          <w:tcPr>
            <w:tcW w:w="5620" w:type="dxa"/>
            <w:shd w:val="clear" w:color="000000" w:fill="FFFFFF"/>
            <w:vAlign w:val="center"/>
          </w:tcPr>
          <w:p w14:paraId="25AE51B5">
            <w:pPr>
              <w:widowControl/>
              <w:jc w:val="left"/>
              <w:rPr>
                <w:rFonts w:hint="eastAsia" w:ascii="宋体" w:hAnsi="宋体" w:cs="宋体"/>
                <w:kern w:val="0"/>
                <w:sz w:val="21"/>
                <w:szCs w:val="21"/>
              </w:rPr>
            </w:pPr>
            <w:r>
              <w:rPr>
                <w:rFonts w:hint="eastAsia" w:ascii="宋体" w:hAnsi="宋体" w:cs="宋体"/>
                <w:kern w:val="0"/>
                <w:sz w:val="21"/>
                <w:szCs w:val="21"/>
              </w:rPr>
              <w:t>支持在WEB界面对负载均衡设备进行运维管理与排错，如查看连接信息，查看设备集群状态（提供设备操作界面截图证明材料）</w:t>
            </w:r>
          </w:p>
        </w:tc>
      </w:tr>
      <w:tr w14:paraId="73D7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20" w:type="dxa"/>
            <w:vMerge w:val="continue"/>
            <w:vAlign w:val="center"/>
          </w:tcPr>
          <w:p w14:paraId="197B5E3F">
            <w:pPr>
              <w:widowControl/>
              <w:jc w:val="left"/>
              <w:rPr>
                <w:rFonts w:hint="eastAsia" w:ascii="宋体" w:hAnsi="宋体" w:cs="宋体"/>
                <w:kern w:val="0"/>
                <w:sz w:val="21"/>
                <w:szCs w:val="21"/>
              </w:rPr>
            </w:pPr>
          </w:p>
        </w:tc>
        <w:tc>
          <w:tcPr>
            <w:tcW w:w="1040" w:type="dxa"/>
            <w:vMerge w:val="continue"/>
            <w:vAlign w:val="center"/>
          </w:tcPr>
          <w:p w14:paraId="2CDB4904">
            <w:pPr>
              <w:widowControl/>
              <w:jc w:val="left"/>
              <w:rPr>
                <w:rFonts w:hint="eastAsia" w:ascii="宋体" w:hAnsi="宋体" w:cs="宋体"/>
                <w:kern w:val="0"/>
                <w:sz w:val="21"/>
                <w:szCs w:val="21"/>
              </w:rPr>
            </w:pPr>
          </w:p>
        </w:tc>
        <w:tc>
          <w:tcPr>
            <w:tcW w:w="1400" w:type="dxa"/>
            <w:vMerge w:val="continue"/>
            <w:vAlign w:val="center"/>
          </w:tcPr>
          <w:p w14:paraId="738CE5C8">
            <w:pPr>
              <w:widowControl/>
              <w:jc w:val="left"/>
              <w:rPr>
                <w:rFonts w:hint="eastAsia" w:ascii="宋体" w:hAnsi="宋体" w:cs="宋体"/>
                <w:kern w:val="0"/>
                <w:sz w:val="21"/>
                <w:szCs w:val="21"/>
              </w:rPr>
            </w:pPr>
          </w:p>
        </w:tc>
        <w:tc>
          <w:tcPr>
            <w:tcW w:w="5620" w:type="dxa"/>
            <w:shd w:val="clear" w:color="000000" w:fill="FFFFFF"/>
            <w:vAlign w:val="center"/>
          </w:tcPr>
          <w:p w14:paraId="7F5826DC">
            <w:pPr>
              <w:widowControl/>
              <w:jc w:val="left"/>
              <w:rPr>
                <w:rFonts w:hint="eastAsia" w:ascii="宋体" w:hAnsi="宋体" w:cs="宋体"/>
                <w:kern w:val="0"/>
                <w:sz w:val="21"/>
                <w:szCs w:val="21"/>
              </w:rPr>
            </w:pPr>
            <w:r>
              <w:rPr>
                <w:rFonts w:hint="eastAsia" w:ascii="宋体" w:hAnsi="宋体" w:cs="宋体"/>
                <w:kern w:val="0"/>
                <w:sz w:val="21"/>
                <w:szCs w:val="21"/>
              </w:rPr>
              <w:t>支持在WEB管理页面查看连接表信息，同时支持在界面中对连接表进行源IP，目的IP，源端口，目的端口，虚拟服务等过滤条件的过滤查询</w:t>
            </w:r>
          </w:p>
        </w:tc>
      </w:tr>
      <w:tr w14:paraId="63D9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351B2AEE">
            <w:pPr>
              <w:widowControl/>
              <w:jc w:val="left"/>
              <w:rPr>
                <w:rFonts w:hint="eastAsia" w:ascii="宋体" w:hAnsi="宋体" w:cs="宋体"/>
                <w:kern w:val="0"/>
                <w:sz w:val="21"/>
                <w:szCs w:val="21"/>
              </w:rPr>
            </w:pPr>
          </w:p>
        </w:tc>
        <w:tc>
          <w:tcPr>
            <w:tcW w:w="1040" w:type="dxa"/>
            <w:vMerge w:val="continue"/>
            <w:vAlign w:val="center"/>
          </w:tcPr>
          <w:p w14:paraId="6E4AAE9F">
            <w:pPr>
              <w:widowControl/>
              <w:jc w:val="left"/>
              <w:rPr>
                <w:rFonts w:hint="eastAsia" w:ascii="宋体" w:hAnsi="宋体" w:cs="宋体"/>
                <w:kern w:val="0"/>
                <w:sz w:val="21"/>
                <w:szCs w:val="21"/>
              </w:rPr>
            </w:pPr>
          </w:p>
        </w:tc>
        <w:tc>
          <w:tcPr>
            <w:tcW w:w="1400" w:type="dxa"/>
            <w:vMerge w:val="continue"/>
            <w:vAlign w:val="center"/>
          </w:tcPr>
          <w:p w14:paraId="4219F283">
            <w:pPr>
              <w:widowControl/>
              <w:jc w:val="left"/>
              <w:rPr>
                <w:rFonts w:hint="eastAsia" w:ascii="宋体" w:hAnsi="宋体" w:cs="宋体"/>
                <w:kern w:val="0"/>
                <w:sz w:val="21"/>
                <w:szCs w:val="21"/>
              </w:rPr>
            </w:pPr>
          </w:p>
        </w:tc>
        <w:tc>
          <w:tcPr>
            <w:tcW w:w="5620" w:type="dxa"/>
            <w:shd w:val="clear" w:color="000000" w:fill="FFFFFF"/>
            <w:vAlign w:val="center"/>
          </w:tcPr>
          <w:p w14:paraId="78796307">
            <w:pPr>
              <w:widowControl/>
              <w:jc w:val="left"/>
              <w:rPr>
                <w:rFonts w:hint="eastAsia" w:ascii="宋体" w:hAnsi="宋体" w:cs="宋体"/>
                <w:kern w:val="0"/>
                <w:sz w:val="21"/>
                <w:szCs w:val="21"/>
              </w:rPr>
            </w:pPr>
            <w:r>
              <w:rPr>
                <w:rFonts w:hint="eastAsia" w:ascii="宋体" w:hAnsi="宋体" w:cs="宋体"/>
                <w:kern w:val="0"/>
                <w:sz w:val="21"/>
                <w:szCs w:val="21"/>
              </w:rPr>
              <w:t>支持对设备的管理日志进行新旧配置对比，及时发现设备管理上的变化；（提供设备操作界面截图证明材料）</w:t>
            </w:r>
          </w:p>
        </w:tc>
      </w:tr>
    </w:tbl>
    <w:p w14:paraId="174C29E4">
      <w:pPr>
        <w:pStyle w:val="2"/>
        <w:ind w:left="0" w:leftChars="0" w:firstLine="0" w:firstLineChars="0"/>
      </w:pPr>
    </w:p>
    <w:p w14:paraId="5FEFE000">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3.4.3广域网路由器共4台</w:t>
      </w:r>
    </w:p>
    <w:tbl>
      <w:tblPr>
        <w:tblStyle w:val="19"/>
        <w:tblW w:w="84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360"/>
        <w:gridCol w:w="5200"/>
      </w:tblGrid>
      <w:tr w14:paraId="1FC3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20" w:type="dxa"/>
            <w:shd w:val="clear" w:color="auto" w:fill="auto"/>
            <w:vAlign w:val="bottom"/>
          </w:tcPr>
          <w:p w14:paraId="1071477B">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项目名称</w:t>
            </w:r>
          </w:p>
        </w:tc>
        <w:tc>
          <w:tcPr>
            <w:tcW w:w="1040" w:type="dxa"/>
            <w:shd w:val="clear" w:color="auto" w:fill="auto"/>
            <w:vAlign w:val="center"/>
          </w:tcPr>
          <w:p w14:paraId="64CFE73D">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类别</w:t>
            </w:r>
          </w:p>
        </w:tc>
        <w:tc>
          <w:tcPr>
            <w:tcW w:w="1360" w:type="dxa"/>
            <w:shd w:val="clear" w:color="auto" w:fill="auto"/>
            <w:vAlign w:val="center"/>
          </w:tcPr>
          <w:p w14:paraId="16E6F9C9">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要求项</w:t>
            </w:r>
          </w:p>
        </w:tc>
        <w:tc>
          <w:tcPr>
            <w:tcW w:w="5200" w:type="dxa"/>
            <w:shd w:val="clear" w:color="auto" w:fill="auto"/>
            <w:vAlign w:val="center"/>
          </w:tcPr>
          <w:p w14:paraId="360959B4">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要求明细</w:t>
            </w:r>
          </w:p>
        </w:tc>
      </w:tr>
      <w:tr w14:paraId="2A7F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1C7DF606">
            <w:pPr>
              <w:widowControl/>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IDC网络设备升级项目三期</w:t>
            </w:r>
          </w:p>
        </w:tc>
        <w:tc>
          <w:tcPr>
            <w:tcW w:w="1040" w:type="dxa"/>
            <w:vMerge w:val="restart"/>
            <w:shd w:val="clear" w:color="auto" w:fill="auto"/>
            <w:vAlign w:val="center"/>
          </w:tcPr>
          <w:p w14:paraId="2753FA5B">
            <w:pPr>
              <w:widowControl/>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★基础要求</w:t>
            </w:r>
          </w:p>
        </w:tc>
        <w:tc>
          <w:tcPr>
            <w:tcW w:w="1360" w:type="dxa"/>
            <w:shd w:val="clear" w:color="auto" w:fill="auto"/>
            <w:vAlign w:val="center"/>
          </w:tcPr>
          <w:p w14:paraId="5BB8350C">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信创要求</w:t>
            </w:r>
          </w:p>
        </w:tc>
        <w:tc>
          <w:tcPr>
            <w:tcW w:w="5200" w:type="dxa"/>
            <w:shd w:val="clear" w:color="000000" w:fill="FFFFFF"/>
            <w:vAlign w:val="bottom"/>
          </w:tcPr>
          <w:p w14:paraId="44D7EBD8">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满足信创要求，使用国产芯片和国产操作系统</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kern w:val="0"/>
                <w:sz w:val="21"/>
                <w:szCs w:val="21"/>
              </w:rPr>
              <w:t>（提供证明材料，如官网截图、产品彩页截图、第三方报告等）</w:t>
            </w:r>
          </w:p>
        </w:tc>
      </w:tr>
      <w:tr w14:paraId="3DD4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C246022">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1A89042C">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1571BD5D">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案例要求</w:t>
            </w:r>
          </w:p>
        </w:tc>
        <w:tc>
          <w:tcPr>
            <w:tcW w:w="5200" w:type="dxa"/>
            <w:shd w:val="clear" w:color="auto" w:fill="auto"/>
            <w:vAlign w:val="center"/>
          </w:tcPr>
          <w:p w14:paraId="477A6729">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应标型号要求有在证券行业应用的案例（提供证明材料）</w:t>
            </w:r>
          </w:p>
        </w:tc>
      </w:tr>
      <w:tr w14:paraId="21A3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0" w:type="dxa"/>
            <w:vMerge w:val="continue"/>
            <w:vAlign w:val="center"/>
          </w:tcPr>
          <w:p w14:paraId="18E3633B">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66289B3">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6D498BDD">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排名要求</w:t>
            </w:r>
          </w:p>
        </w:tc>
        <w:tc>
          <w:tcPr>
            <w:tcW w:w="5200" w:type="dxa"/>
            <w:shd w:val="clear" w:color="auto" w:fill="auto"/>
            <w:vAlign w:val="center"/>
          </w:tcPr>
          <w:p w14:paraId="39879672">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2024年中国区路由器（企业市场）市场份额排名前三（提供IDC出具的设备原厂商“路由器（企业市场）”2024年度中国市场份额排名，本项须提供证明材料复印件并加盖原厂商公章视为有效。）</w:t>
            </w:r>
          </w:p>
        </w:tc>
      </w:tr>
      <w:tr w14:paraId="7EBF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820" w:type="dxa"/>
            <w:vMerge w:val="continue"/>
            <w:vAlign w:val="center"/>
          </w:tcPr>
          <w:p w14:paraId="13FF7B2B">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4B24EDDF">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62C66844">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基础功能</w:t>
            </w:r>
          </w:p>
        </w:tc>
        <w:tc>
          <w:tcPr>
            <w:tcW w:w="5200" w:type="dxa"/>
            <w:shd w:val="clear" w:color="auto" w:fill="auto"/>
            <w:vAlign w:val="center"/>
          </w:tcPr>
          <w:p w14:paraId="709AD3E3">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DHCP server/client/relay，PPPoE server/client，NAT，子接口管理</w:t>
            </w:r>
          </w:p>
        </w:tc>
      </w:tr>
      <w:tr w14:paraId="46FB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A7CED0C">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459E940A">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6FA223B0">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IPv4 单播路由</w:t>
            </w:r>
          </w:p>
        </w:tc>
        <w:tc>
          <w:tcPr>
            <w:tcW w:w="5200" w:type="dxa"/>
            <w:shd w:val="clear" w:color="auto" w:fill="auto"/>
            <w:vAlign w:val="center"/>
          </w:tcPr>
          <w:p w14:paraId="3A4011E5">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路由策略，静态路由，RIP，OSPF，IS-IS，BGP</w:t>
            </w:r>
          </w:p>
        </w:tc>
      </w:tr>
      <w:tr w14:paraId="4550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33DA37AA">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55964B00">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01C81B77">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性能参数</w:t>
            </w:r>
          </w:p>
        </w:tc>
        <w:tc>
          <w:tcPr>
            <w:tcW w:w="5200" w:type="dxa"/>
            <w:shd w:val="clear" w:color="auto" w:fill="auto"/>
            <w:vAlign w:val="center"/>
          </w:tcPr>
          <w:p w14:paraId="74D25D3F">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支持交换容量≥160Tbps，支持包转发率≥28500Mpps（提供证明材料，如官网截图、产品彩页截图、第三方报告等）</w:t>
            </w:r>
          </w:p>
        </w:tc>
      </w:tr>
      <w:tr w14:paraId="562C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3321BDFA">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3081E14F">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01AD641A">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端口要求</w:t>
            </w:r>
          </w:p>
        </w:tc>
        <w:tc>
          <w:tcPr>
            <w:tcW w:w="5200" w:type="dxa"/>
            <w:shd w:val="clear" w:color="auto" w:fill="auto"/>
            <w:vAlign w:val="center"/>
          </w:tcPr>
          <w:p w14:paraId="73E5E919">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实配万兆光口≥6，千兆电口≥8</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kern w:val="0"/>
                <w:sz w:val="21"/>
                <w:szCs w:val="21"/>
              </w:rPr>
              <w:t>（提供证明材料，如官网截图、产品彩页截图、第三方报告等）</w:t>
            </w:r>
          </w:p>
        </w:tc>
      </w:tr>
      <w:tr w14:paraId="6225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D52CCBF">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C85BA2A">
            <w:pPr>
              <w:widowControl/>
              <w:jc w:val="left"/>
              <w:rPr>
                <w:rFonts w:hint="eastAsia" w:asciiTheme="minorEastAsia" w:hAnsiTheme="minorEastAsia" w:eastAsiaTheme="minorEastAsia" w:cstheme="minorEastAsia"/>
                <w:kern w:val="0"/>
                <w:sz w:val="21"/>
                <w:szCs w:val="21"/>
              </w:rPr>
            </w:pPr>
          </w:p>
        </w:tc>
        <w:tc>
          <w:tcPr>
            <w:tcW w:w="1360" w:type="dxa"/>
            <w:vMerge w:val="restart"/>
            <w:shd w:val="clear" w:color="auto" w:fill="auto"/>
            <w:vAlign w:val="center"/>
          </w:tcPr>
          <w:p w14:paraId="6143C3FC">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硬件规格</w:t>
            </w:r>
          </w:p>
        </w:tc>
        <w:tc>
          <w:tcPr>
            <w:tcW w:w="5200" w:type="dxa"/>
            <w:shd w:val="clear" w:color="auto" w:fill="auto"/>
            <w:vAlign w:val="center"/>
          </w:tcPr>
          <w:p w14:paraId="7FC27595">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整机高度≥2U</w:t>
            </w:r>
          </w:p>
        </w:tc>
      </w:tr>
      <w:tr w14:paraId="3E5D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EB2A401">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064A9C86">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77637234">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3D213791">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支持电源冗余，电源≥2个，支持热插拔；</w:t>
            </w:r>
          </w:p>
        </w:tc>
      </w:tr>
      <w:tr w14:paraId="3259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5159B1D">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48EC5BC3">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2E891278">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5B965C22">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业务插槽≥6个（主控、风扇、电源、其他扣卡等槽位不及入业务槽位之内）；</w:t>
            </w:r>
          </w:p>
        </w:tc>
      </w:tr>
      <w:tr w14:paraId="2C26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E113AD7">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60B07D8">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5038DD15">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308652E2">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支持多核CPU</w:t>
            </w:r>
          </w:p>
        </w:tc>
      </w:tr>
      <w:tr w14:paraId="1E6D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5C8789E5">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56C1F221">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6972B0F4">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6FFB8017">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主控板、交换网板需配置冗余</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kern w:val="0"/>
                <w:sz w:val="21"/>
                <w:szCs w:val="21"/>
              </w:rPr>
              <w:t>业务板卡支持直接热插拔（提供第三方检测证明报告）</w:t>
            </w:r>
          </w:p>
        </w:tc>
      </w:tr>
      <w:tr w14:paraId="1207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AD40B8F">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33CC5DCB">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4236FD80">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模块数量要求</w:t>
            </w:r>
          </w:p>
        </w:tc>
        <w:tc>
          <w:tcPr>
            <w:tcW w:w="5200" w:type="dxa"/>
            <w:shd w:val="clear" w:color="auto" w:fill="auto"/>
            <w:vAlign w:val="center"/>
          </w:tcPr>
          <w:p w14:paraId="52A7FFA6">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单台设备模块数量：万兆光模块≥4（要求为中标品牌原厂模块）</w:t>
            </w:r>
          </w:p>
        </w:tc>
      </w:tr>
      <w:tr w14:paraId="3CFE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250464D">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1CA5C108">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1DEB0735">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维保要求</w:t>
            </w:r>
          </w:p>
        </w:tc>
        <w:tc>
          <w:tcPr>
            <w:tcW w:w="5200" w:type="dxa"/>
            <w:shd w:val="clear" w:color="auto" w:fill="auto"/>
            <w:vAlign w:val="center"/>
          </w:tcPr>
          <w:p w14:paraId="5C8031AD">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所有设备包含5年原厂维保服务</w:t>
            </w:r>
          </w:p>
        </w:tc>
      </w:tr>
      <w:tr w14:paraId="2B62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062D6DC">
            <w:pPr>
              <w:widowControl/>
              <w:jc w:val="left"/>
              <w:rPr>
                <w:rFonts w:hint="eastAsia" w:asciiTheme="minorEastAsia" w:hAnsiTheme="minorEastAsia" w:eastAsiaTheme="minorEastAsia" w:cstheme="minorEastAsia"/>
                <w:kern w:val="0"/>
                <w:sz w:val="21"/>
                <w:szCs w:val="21"/>
              </w:rPr>
            </w:pPr>
          </w:p>
        </w:tc>
        <w:tc>
          <w:tcPr>
            <w:tcW w:w="1040" w:type="dxa"/>
            <w:vMerge w:val="restart"/>
            <w:shd w:val="clear" w:color="auto" w:fill="auto"/>
            <w:vAlign w:val="center"/>
          </w:tcPr>
          <w:p w14:paraId="3AD96786">
            <w:pPr>
              <w:widowControl/>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功能要求</w:t>
            </w:r>
          </w:p>
        </w:tc>
        <w:tc>
          <w:tcPr>
            <w:tcW w:w="1360" w:type="dxa"/>
            <w:shd w:val="clear" w:color="auto" w:fill="auto"/>
            <w:vAlign w:val="center"/>
          </w:tcPr>
          <w:p w14:paraId="416562F6">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组播</w:t>
            </w:r>
          </w:p>
        </w:tc>
        <w:tc>
          <w:tcPr>
            <w:tcW w:w="5200" w:type="dxa"/>
            <w:shd w:val="clear" w:color="auto" w:fill="auto"/>
            <w:vAlign w:val="center"/>
          </w:tcPr>
          <w:p w14:paraId="699244B1">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IGMP V1/V2/V3，PIM SM，PIM DM，MSDP</w:t>
            </w:r>
          </w:p>
        </w:tc>
      </w:tr>
      <w:tr w14:paraId="6D60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F465CBE">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7960E7C5">
            <w:pPr>
              <w:widowControl/>
              <w:jc w:val="left"/>
              <w:rPr>
                <w:rFonts w:hint="eastAsia" w:asciiTheme="minorEastAsia" w:hAnsiTheme="minorEastAsia" w:eastAsiaTheme="minorEastAsia" w:cstheme="minorEastAsia"/>
                <w:kern w:val="0"/>
                <w:sz w:val="21"/>
                <w:szCs w:val="21"/>
              </w:rPr>
            </w:pPr>
          </w:p>
        </w:tc>
        <w:tc>
          <w:tcPr>
            <w:tcW w:w="1360" w:type="dxa"/>
            <w:vMerge w:val="restart"/>
            <w:shd w:val="clear" w:color="auto" w:fill="auto"/>
            <w:vAlign w:val="center"/>
          </w:tcPr>
          <w:p w14:paraId="15A86F6C">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三层功能</w:t>
            </w:r>
          </w:p>
        </w:tc>
        <w:tc>
          <w:tcPr>
            <w:tcW w:w="5200" w:type="dxa"/>
            <w:shd w:val="clear" w:color="auto" w:fill="auto"/>
            <w:vAlign w:val="center"/>
          </w:tcPr>
          <w:p w14:paraId="79C749A3">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支持RIP、OSPF、ISIS、BGP等IPv4动态路由协议</w:t>
            </w:r>
          </w:p>
        </w:tc>
      </w:tr>
      <w:tr w14:paraId="4255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BD91DB0">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1354CE2B">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37760A4F">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46764580">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支持RIPng、OSPFv3、ISISv6、BGP4+等IPv6动态路由协议</w:t>
            </w:r>
          </w:p>
        </w:tc>
      </w:tr>
      <w:tr w14:paraId="6208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6C54440">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8D82503">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4710D528">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6BCE3D0A">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支持策略路由</w:t>
            </w:r>
          </w:p>
        </w:tc>
      </w:tr>
      <w:tr w14:paraId="3618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F76002D">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CF1CC42">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13360161">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19DFB464">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支持IPv6 ND、PMTU发现</w:t>
            </w:r>
          </w:p>
        </w:tc>
      </w:tr>
      <w:tr w14:paraId="387B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75499A2">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396BC5B">
            <w:pPr>
              <w:widowControl/>
              <w:jc w:val="left"/>
              <w:rPr>
                <w:rFonts w:hint="eastAsia" w:asciiTheme="minorEastAsia" w:hAnsiTheme="minorEastAsia" w:eastAsiaTheme="minorEastAsia" w:cstheme="minorEastAsia"/>
                <w:kern w:val="0"/>
                <w:sz w:val="21"/>
                <w:szCs w:val="21"/>
              </w:rPr>
            </w:pPr>
          </w:p>
        </w:tc>
        <w:tc>
          <w:tcPr>
            <w:tcW w:w="1360" w:type="dxa"/>
            <w:vMerge w:val="continue"/>
            <w:vAlign w:val="center"/>
          </w:tcPr>
          <w:p w14:paraId="28C4ED77">
            <w:pPr>
              <w:widowControl/>
              <w:jc w:val="left"/>
              <w:rPr>
                <w:rFonts w:hint="eastAsia" w:asciiTheme="minorEastAsia" w:hAnsiTheme="minorEastAsia" w:eastAsiaTheme="minorEastAsia" w:cstheme="minorEastAsia"/>
                <w:kern w:val="0"/>
                <w:sz w:val="21"/>
                <w:szCs w:val="21"/>
              </w:rPr>
            </w:pPr>
          </w:p>
        </w:tc>
        <w:tc>
          <w:tcPr>
            <w:tcW w:w="5200" w:type="dxa"/>
            <w:shd w:val="clear" w:color="auto" w:fill="auto"/>
            <w:vAlign w:val="center"/>
          </w:tcPr>
          <w:p w14:paraId="25D6B21E">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支持BFD双向检测</w:t>
            </w:r>
          </w:p>
        </w:tc>
      </w:tr>
      <w:tr w14:paraId="4AF5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0603BB0C">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582B688A">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14566448">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安全要求</w:t>
            </w:r>
          </w:p>
        </w:tc>
        <w:tc>
          <w:tcPr>
            <w:tcW w:w="5200" w:type="dxa"/>
            <w:shd w:val="clear" w:color="auto" w:fill="auto"/>
            <w:vAlign w:val="center"/>
          </w:tcPr>
          <w:p w14:paraId="5151D215">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ACLv4/v6，基于域的状态防火墙，802.1x 认证，AAA，RADIUS，PKI，广播风暴抑制，ARP 安全，ICMP 防攻击，URPF，丢包告警，黑名单，攻击源追踪，国密算法 SM3/SM4</w:t>
            </w:r>
          </w:p>
        </w:tc>
      </w:tr>
      <w:tr w14:paraId="7AC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0" w:type="dxa"/>
            <w:vMerge w:val="continue"/>
            <w:vAlign w:val="center"/>
          </w:tcPr>
          <w:p w14:paraId="3E5B3A6A">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4CDCC4FB">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4C7DAE2B">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QoS</w:t>
            </w:r>
          </w:p>
        </w:tc>
        <w:tc>
          <w:tcPr>
            <w:tcW w:w="5200" w:type="dxa"/>
            <w:shd w:val="clear" w:color="auto" w:fill="auto"/>
            <w:vAlign w:val="center"/>
          </w:tcPr>
          <w:p w14:paraId="0C8F916C">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Diffserv 模式，MPLS QoS，优先级映射，流量监管（CAR），流量整形，拥塞避免，拥塞管理，MQC（流分类，流行为，流策略），端口三级调度和三级整形</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kern w:val="0"/>
                <w:sz w:val="21"/>
                <w:szCs w:val="21"/>
              </w:rPr>
              <w:t>支持根据日期定时开关QOS（提供配置截图）</w:t>
            </w:r>
          </w:p>
        </w:tc>
      </w:tr>
      <w:tr w14:paraId="3831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AB56B3C">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2CDFAE3F">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1C2C6B60">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VPN</w:t>
            </w:r>
          </w:p>
        </w:tc>
        <w:tc>
          <w:tcPr>
            <w:tcW w:w="5200" w:type="dxa"/>
            <w:shd w:val="clear" w:color="auto" w:fill="auto"/>
            <w:vAlign w:val="center"/>
          </w:tcPr>
          <w:p w14:paraId="6F1FF619">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VPN IPsec VPN，GRE VPN，L2 VPN，L3 VPN，EVPN</w:t>
            </w:r>
          </w:p>
        </w:tc>
      </w:tr>
      <w:tr w14:paraId="7BDC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4CF5C572">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0BA47864">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3FAB3CDD">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SNMP</w:t>
            </w:r>
          </w:p>
        </w:tc>
        <w:tc>
          <w:tcPr>
            <w:tcW w:w="5200" w:type="dxa"/>
            <w:shd w:val="clear" w:color="auto" w:fill="auto"/>
            <w:vAlign w:val="center"/>
          </w:tcPr>
          <w:p w14:paraId="274ACE64">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支持开放性协议（例如SNMP），可实现网络设备运行状态监控功能</w:t>
            </w:r>
          </w:p>
        </w:tc>
      </w:tr>
      <w:tr w14:paraId="0AD3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9E2D505">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E12FC27">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69604E1D">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可靠性</w:t>
            </w:r>
          </w:p>
        </w:tc>
        <w:tc>
          <w:tcPr>
            <w:tcW w:w="5200" w:type="dxa"/>
            <w:shd w:val="clear" w:color="auto" w:fill="auto"/>
            <w:vAlign w:val="center"/>
          </w:tcPr>
          <w:p w14:paraId="2EA1A8BF">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支持VRRP、NQA、BFD、VRRP6、NQA6、BFD6</w:t>
            </w:r>
          </w:p>
        </w:tc>
      </w:tr>
      <w:tr w14:paraId="054B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6ACA3103">
            <w:pPr>
              <w:widowControl/>
              <w:jc w:val="left"/>
              <w:rPr>
                <w:rFonts w:hint="eastAsia" w:asciiTheme="minorEastAsia" w:hAnsiTheme="minorEastAsia" w:eastAsiaTheme="minorEastAsia" w:cstheme="minorEastAsia"/>
                <w:kern w:val="0"/>
                <w:sz w:val="21"/>
                <w:szCs w:val="21"/>
              </w:rPr>
            </w:pPr>
          </w:p>
        </w:tc>
        <w:tc>
          <w:tcPr>
            <w:tcW w:w="1040" w:type="dxa"/>
            <w:vMerge w:val="continue"/>
            <w:vAlign w:val="center"/>
          </w:tcPr>
          <w:p w14:paraId="69C73D11">
            <w:pPr>
              <w:widowControl/>
              <w:jc w:val="left"/>
              <w:rPr>
                <w:rFonts w:hint="eastAsia" w:asciiTheme="minorEastAsia" w:hAnsiTheme="minorEastAsia" w:eastAsiaTheme="minorEastAsia" w:cstheme="minorEastAsia"/>
                <w:kern w:val="0"/>
                <w:sz w:val="21"/>
                <w:szCs w:val="21"/>
              </w:rPr>
            </w:pPr>
          </w:p>
        </w:tc>
        <w:tc>
          <w:tcPr>
            <w:tcW w:w="1360" w:type="dxa"/>
            <w:shd w:val="clear" w:color="auto" w:fill="auto"/>
            <w:vAlign w:val="center"/>
          </w:tcPr>
          <w:p w14:paraId="1B7EB47B">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MPLS</w:t>
            </w:r>
          </w:p>
        </w:tc>
        <w:tc>
          <w:tcPr>
            <w:tcW w:w="5200" w:type="dxa"/>
            <w:shd w:val="clear" w:color="auto" w:fill="auto"/>
            <w:vAlign w:val="center"/>
          </w:tcPr>
          <w:p w14:paraId="66DE9D76">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LDP，MPLS L3 VPN，VLL，PWE3，静态 LSP，动态 LSP，MPLS TE，IP FRR，LDP FRR，TE FRR</w:t>
            </w:r>
          </w:p>
        </w:tc>
      </w:tr>
    </w:tbl>
    <w:p w14:paraId="40B9CC10">
      <w:pPr>
        <w:pStyle w:val="2"/>
        <w:ind w:left="0" w:leftChars="0" w:firstLine="0" w:firstLineChars="0"/>
      </w:pPr>
    </w:p>
    <w:p w14:paraId="32D65176">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3.4.4网管交换机共18台</w:t>
      </w:r>
    </w:p>
    <w:tbl>
      <w:tblPr>
        <w:tblStyle w:val="19"/>
        <w:tblW w:w="80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040"/>
        <w:gridCol w:w="5160"/>
      </w:tblGrid>
      <w:tr w14:paraId="154B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20" w:type="dxa"/>
            <w:shd w:val="clear" w:color="auto" w:fill="auto"/>
            <w:vAlign w:val="bottom"/>
          </w:tcPr>
          <w:p w14:paraId="62FFF8ED">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项目名称</w:t>
            </w:r>
          </w:p>
        </w:tc>
        <w:tc>
          <w:tcPr>
            <w:tcW w:w="1040" w:type="dxa"/>
            <w:shd w:val="clear" w:color="auto" w:fill="auto"/>
            <w:vAlign w:val="center"/>
          </w:tcPr>
          <w:p w14:paraId="10FD8CDE">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类别</w:t>
            </w:r>
          </w:p>
        </w:tc>
        <w:tc>
          <w:tcPr>
            <w:tcW w:w="1040" w:type="dxa"/>
            <w:shd w:val="clear" w:color="auto" w:fill="auto"/>
            <w:vAlign w:val="center"/>
          </w:tcPr>
          <w:p w14:paraId="6A11E249">
            <w:pPr>
              <w:widowControl/>
              <w:jc w:val="left"/>
              <w:rPr>
                <w:rFonts w:hint="eastAsia" w:ascii="宋体" w:hAnsi="宋体" w:cs="宋体"/>
                <w:b/>
                <w:bCs/>
                <w:color w:val="000000"/>
                <w:kern w:val="0"/>
                <w:sz w:val="21"/>
                <w:szCs w:val="21"/>
              </w:rPr>
            </w:pPr>
            <w:r>
              <w:rPr>
                <w:rFonts w:hint="eastAsia" w:ascii="宋体" w:hAnsi="宋体" w:cs="宋体"/>
                <w:b/>
                <w:bCs/>
                <w:color w:val="000000"/>
                <w:kern w:val="0"/>
                <w:sz w:val="21"/>
                <w:szCs w:val="21"/>
              </w:rPr>
              <w:t>要求项</w:t>
            </w:r>
          </w:p>
        </w:tc>
        <w:tc>
          <w:tcPr>
            <w:tcW w:w="5160" w:type="dxa"/>
            <w:shd w:val="clear" w:color="auto" w:fill="auto"/>
            <w:vAlign w:val="center"/>
          </w:tcPr>
          <w:p w14:paraId="4B22E8DB">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要求明细</w:t>
            </w:r>
          </w:p>
        </w:tc>
      </w:tr>
      <w:tr w14:paraId="286F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1BF6968D">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IDC网络设备升级项目三期</w:t>
            </w:r>
          </w:p>
        </w:tc>
        <w:tc>
          <w:tcPr>
            <w:tcW w:w="1040" w:type="dxa"/>
            <w:vMerge w:val="restart"/>
            <w:shd w:val="clear" w:color="auto" w:fill="auto"/>
            <w:vAlign w:val="center"/>
          </w:tcPr>
          <w:p w14:paraId="5DFA5D90">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★基础要求</w:t>
            </w:r>
          </w:p>
        </w:tc>
        <w:tc>
          <w:tcPr>
            <w:tcW w:w="1040" w:type="dxa"/>
            <w:shd w:val="clear" w:color="auto" w:fill="auto"/>
            <w:vAlign w:val="center"/>
          </w:tcPr>
          <w:p w14:paraId="68E43BF2">
            <w:pPr>
              <w:widowControl/>
              <w:jc w:val="left"/>
              <w:rPr>
                <w:rFonts w:hint="eastAsia" w:ascii="宋体" w:hAnsi="宋体" w:cs="宋体"/>
                <w:kern w:val="0"/>
                <w:sz w:val="21"/>
                <w:szCs w:val="21"/>
              </w:rPr>
            </w:pPr>
            <w:r>
              <w:rPr>
                <w:rFonts w:hint="eastAsia" w:ascii="宋体" w:hAnsi="宋体" w:cs="宋体"/>
                <w:kern w:val="0"/>
                <w:sz w:val="21"/>
                <w:szCs w:val="21"/>
              </w:rPr>
              <w:t>信创要求</w:t>
            </w:r>
          </w:p>
        </w:tc>
        <w:tc>
          <w:tcPr>
            <w:tcW w:w="5160" w:type="dxa"/>
            <w:shd w:val="clear" w:color="000000" w:fill="FFFFFF"/>
            <w:vAlign w:val="bottom"/>
          </w:tcPr>
          <w:p w14:paraId="16DC9C91">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7818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9F1D457">
            <w:pPr>
              <w:widowControl/>
              <w:jc w:val="left"/>
              <w:rPr>
                <w:rFonts w:hint="eastAsia" w:ascii="宋体" w:hAnsi="宋体" w:cs="宋体"/>
                <w:color w:val="000000"/>
                <w:kern w:val="0"/>
                <w:sz w:val="21"/>
                <w:szCs w:val="21"/>
              </w:rPr>
            </w:pPr>
          </w:p>
        </w:tc>
        <w:tc>
          <w:tcPr>
            <w:tcW w:w="1040" w:type="dxa"/>
            <w:vMerge w:val="continue"/>
            <w:vAlign w:val="center"/>
          </w:tcPr>
          <w:p w14:paraId="5D6BDE27">
            <w:pPr>
              <w:widowControl/>
              <w:jc w:val="left"/>
              <w:rPr>
                <w:rFonts w:hint="eastAsia" w:ascii="宋体" w:hAnsi="宋体" w:cs="宋体"/>
                <w:color w:val="000000"/>
                <w:kern w:val="0"/>
                <w:sz w:val="21"/>
                <w:szCs w:val="21"/>
              </w:rPr>
            </w:pPr>
          </w:p>
        </w:tc>
        <w:tc>
          <w:tcPr>
            <w:tcW w:w="1040" w:type="dxa"/>
            <w:shd w:val="clear" w:color="auto" w:fill="auto"/>
            <w:vAlign w:val="center"/>
          </w:tcPr>
          <w:p w14:paraId="0E366220">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案例要求</w:t>
            </w:r>
          </w:p>
        </w:tc>
        <w:tc>
          <w:tcPr>
            <w:tcW w:w="5160" w:type="dxa"/>
            <w:shd w:val="clear" w:color="auto" w:fill="auto"/>
            <w:vAlign w:val="center"/>
          </w:tcPr>
          <w:p w14:paraId="575F24F0">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应标型号要求有在证券行业应用的案例（提供证明材料）</w:t>
            </w:r>
          </w:p>
        </w:tc>
      </w:tr>
      <w:tr w14:paraId="2364E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70E2CF03">
            <w:pPr>
              <w:widowControl/>
              <w:jc w:val="left"/>
              <w:rPr>
                <w:rFonts w:hint="eastAsia" w:ascii="宋体" w:hAnsi="宋体" w:cs="宋体"/>
                <w:color w:val="000000"/>
                <w:kern w:val="0"/>
                <w:sz w:val="21"/>
                <w:szCs w:val="21"/>
              </w:rPr>
            </w:pPr>
          </w:p>
        </w:tc>
        <w:tc>
          <w:tcPr>
            <w:tcW w:w="1040" w:type="dxa"/>
            <w:vMerge w:val="continue"/>
            <w:vAlign w:val="center"/>
          </w:tcPr>
          <w:p w14:paraId="482C8938">
            <w:pPr>
              <w:widowControl/>
              <w:jc w:val="left"/>
              <w:rPr>
                <w:rFonts w:hint="eastAsia" w:ascii="宋体" w:hAnsi="宋体" w:cs="宋体"/>
                <w:color w:val="000000"/>
                <w:kern w:val="0"/>
                <w:sz w:val="21"/>
                <w:szCs w:val="21"/>
              </w:rPr>
            </w:pPr>
          </w:p>
        </w:tc>
        <w:tc>
          <w:tcPr>
            <w:tcW w:w="1040" w:type="dxa"/>
            <w:shd w:val="clear" w:color="auto" w:fill="auto"/>
            <w:vAlign w:val="center"/>
          </w:tcPr>
          <w:p w14:paraId="6F990F2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排名要求</w:t>
            </w:r>
          </w:p>
        </w:tc>
        <w:tc>
          <w:tcPr>
            <w:tcW w:w="5160" w:type="dxa"/>
            <w:shd w:val="clear" w:color="auto" w:fill="auto"/>
            <w:vAlign w:val="center"/>
          </w:tcPr>
          <w:p w14:paraId="5DE7DF0D">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2024年中国区数据中心交换机市场份额排名前三（提供第三方权威机构给出的IDC报告证明）</w:t>
            </w:r>
          </w:p>
        </w:tc>
      </w:tr>
      <w:tr w14:paraId="40D7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721BE3B3">
            <w:pPr>
              <w:widowControl/>
              <w:jc w:val="left"/>
              <w:rPr>
                <w:rFonts w:hint="eastAsia" w:ascii="宋体" w:hAnsi="宋体" w:cs="宋体"/>
                <w:color w:val="000000"/>
                <w:kern w:val="0"/>
                <w:sz w:val="21"/>
                <w:szCs w:val="21"/>
              </w:rPr>
            </w:pPr>
          </w:p>
        </w:tc>
        <w:tc>
          <w:tcPr>
            <w:tcW w:w="1040" w:type="dxa"/>
            <w:vMerge w:val="continue"/>
            <w:vAlign w:val="center"/>
          </w:tcPr>
          <w:p w14:paraId="32FB3FE4">
            <w:pPr>
              <w:widowControl/>
              <w:jc w:val="left"/>
              <w:rPr>
                <w:rFonts w:hint="eastAsia" w:ascii="宋体" w:hAnsi="宋体" w:cs="宋体"/>
                <w:color w:val="000000"/>
                <w:kern w:val="0"/>
                <w:sz w:val="21"/>
                <w:szCs w:val="21"/>
              </w:rPr>
            </w:pPr>
          </w:p>
        </w:tc>
        <w:tc>
          <w:tcPr>
            <w:tcW w:w="1040" w:type="dxa"/>
            <w:shd w:val="clear" w:color="auto" w:fill="auto"/>
            <w:vAlign w:val="center"/>
          </w:tcPr>
          <w:p w14:paraId="6BCEDD06">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性能参数</w:t>
            </w:r>
          </w:p>
        </w:tc>
        <w:tc>
          <w:tcPr>
            <w:tcW w:w="5160" w:type="dxa"/>
            <w:shd w:val="clear" w:color="auto" w:fill="auto"/>
            <w:vAlign w:val="center"/>
          </w:tcPr>
          <w:p w14:paraId="7A022F27">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交换容量≥670Gbps，以官网所列最低参数为准</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包转发率≥200Mpps，以官网所列最低参数为准</w:t>
            </w:r>
          </w:p>
        </w:tc>
      </w:tr>
      <w:tr w14:paraId="27D5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37D1DD39">
            <w:pPr>
              <w:widowControl/>
              <w:jc w:val="left"/>
              <w:rPr>
                <w:rFonts w:hint="eastAsia" w:ascii="宋体" w:hAnsi="宋体" w:cs="宋体"/>
                <w:color w:val="000000"/>
                <w:kern w:val="0"/>
                <w:sz w:val="21"/>
                <w:szCs w:val="21"/>
              </w:rPr>
            </w:pPr>
          </w:p>
        </w:tc>
        <w:tc>
          <w:tcPr>
            <w:tcW w:w="1040" w:type="dxa"/>
            <w:vMerge w:val="continue"/>
            <w:vAlign w:val="center"/>
          </w:tcPr>
          <w:p w14:paraId="0920A7C8">
            <w:pPr>
              <w:widowControl/>
              <w:jc w:val="left"/>
              <w:rPr>
                <w:rFonts w:hint="eastAsia" w:ascii="宋体" w:hAnsi="宋体" w:cs="宋体"/>
                <w:color w:val="000000"/>
                <w:kern w:val="0"/>
                <w:sz w:val="21"/>
                <w:szCs w:val="21"/>
              </w:rPr>
            </w:pPr>
          </w:p>
        </w:tc>
        <w:tc>
          <w:tcPr>
            <w:tcW w:w="1040" w:type="dxa"/>
            <w:shd w:val="clear" w:color="auto" w:fill="auto"/>
            <w:vAlign w:val="center"/>
          </w:tcPr>
          <w:p w14:paraId="44D14F7D">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端口要求</w:t>
            </w:r>
          </w:p>
        </w:tc>
        <w:tc>
          <w:tcPr>
            <w:tcW w:w="5160" w:type="dxa"/>
            <w:shd w:val="clear" w:color="auto" w:fill="auto"/>
            <w:vAlign w:val="center"/>
          </w:tcPr>
          <w:p w14:paraId="2CE35237">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千兆电口≥48，万兆光口≥6</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（提供证明材料，如官网截图、产品彩页截图、第三方报告等）</w:t>
            </w:r>
          </w:p>
        </w:tc>
      </w:tr>
      <w:tr w14:paraId="33C0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2F48A95">
            <w:pPr>
              <w:widowControl/>
              <w:jc w:val="left"/>
              <w:rPr>
                <w:rFonts w:hint="eastAsia" w:ascii="宋体" w:hAnsi="宋体" w:cs="宋体"/>
                <w:color w:val="000000"/>
                <w:kern w:val="0"/>
                <w:sz w:val="21"/>
                <w:szCs w:val="21"/>
              </w:rPr>
            </w:pPr>
          </w:p>
        </w:tc>
        <w:tc>
          <w:tcPr>
            <w:tcW w:w="1040" w:type="dxa"/>
            <w:vMerge w:val="continue"/>
            <w:vAlign w:val="center"/>
          </w:tcPr>
          <w:p w14:paraId="0A754FD2">
            <w:pPr>
              <w:widowControl/>
              <w:jc w:val="left"/>
              <w:rPr>
                <w:rFonts w:hint="eastAsia" w:ascii="宋体" w:hAnsi="宋体" w:cs="宋体"/>
                <w:color w:val="000000"/>
                <w:kern w:val="0"/>
                <w:sz w:val="21"/>
                <w:szCs w:val="21"/>
              </w:rPr>
            </w:pPr>
          </w:p>
        </w:tc>
        <w:tc>
          <w:tcPr>
            <w:tcW w:w="1040" w:type="dxa"/>
            <w:vMerge w:val="restart"/>
            <w:shd w:val="clear" w:color="auto" w:fill="auto"/>
            <w:vAlign w:val="center"/>
          </w:tcPr>
          <w:p w14:paraId="5183EF06">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硬件规格</w:t>
            </w:r>
          </w:p>
        </w:tc>
        <w:tc>
          <w:tcPr>
            <w:tcW w:w="5160" w:type="dxa"/>
            <w:shd w:val="clear" w:color="auto" w:fill="auto"/>
            <w:vAlign w:val="center"/>
          </w:tcPr>
          <w:p w14:paraId="4D759AD0">
            <w:pPr>
              <w:widowControl/>
              <w:jc w:val="left"/>
              <w:rPr>
                <w:rFonts w:hint="eastAsia" w:ascii="宋体" w:hAnsi="宋体" w:cs="宋体"/>
                <w:kern w:val="0"/>
                <w:sz w:val="21"/>
                <w:szCs w:val="21"/>
              </w:rPr>
            </w:pPr>
            <w:r>
              <w:rPr>
                <w:rFonts w:hint="eastAsia" w:ascii="宋体" w:hAnsi="宋体" w:cs="宋体"/>
                <w:kern w:val="0"/>
                <w:sz w:val="21"/>
                <w:szCs w:val="21"/>
              </w:rPr>
              <w:t>高度=1U</w:t>
            </w:r>
          </w:p>
        </w:tc>
      </w:tr>
      <w:tr w14:paraId="21CC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B05B16F">
            <w:pPr>
              <w:widowControl/>
              <w:jc w:val="left"/>
              <w:rPr>
                <w:rFonts w:hint="eastAsia" w:ascii="宋体" w:hAnsi="宋体" w:cs="宋体"/>
                <w:color w:val="000000"/>
                <w:kern w:val="0"/>
                <w:sz w:val="21"/>
                <w:szCs w:val="21"/>
              </w:rPr>
            </w:pPr>
          </w:p>
        </w:tc>
        <w:tc>
          <w:tcPr>
            <w:tcW w:w="1040" w:type="dxa"/>
            <w:vMerge w:val="continue"/>
            <w:vAlign w:val="center"/>
          </w:tcPr>
          <w:p w14:paraId="747497C8">
            <w:pPr>
              <w:widowControl/>
              <w:jc w:val="left"/>
              <w:rPr>
                <w:rFonts w:hint="eastAsia" w:ascii="宋体" w:hAnsi="宋体" w:cs="宋体"/>
                <w:color w:val="000000"/>
                <w:kern w:val="0"/>
                <w:sz w:val="21"/>
                <w:szCs w:val="21"/>
              </w:rPr>
            </w:pPr>
          </w:p>
        </w:tc>
        <w:tc>
          <w:tcPr>
            <w:tcW w:w="1040" w:type="dxa"/>
            <w:vMerge w:val="continue"/>
            <w:vAlign w:val="center"/>
          </w:tcPr>
          <w:p w14:paraId="37EFD728">
            <w:pPr>
              <w:widowControl/>
              <w:jc w:val="left"/>
              <w:rPr>
                <w:rFonts w:hint="eastAsia" w:ascii="宋体" w:hAnsi="宋体" w:cs="宋体"/>
                <w:color w:val="000000"/>
                <w:kern w:val="0"/>
                <w:sz w:val="21"/>
                <w:szCs w:val="21"/>
              </w:rPr>
            </w:pPr>
          </w:p>
        </w:tc>
        <w:tc>
          <w:tcPr>
            <w:tcW w:w="5160" w:type="dxa"/>
            <w:shd w:val="clear" w:color="auto" w:fill="auto"/>
            <w:vAlign w:val="center"/>
          </w:tcPr>
          <w:p w14:paraId="071DEAFB">
            <w:pPr>
              <w:widowControl/>
              <w:jc w:val="left"/>
              <w:rPr>
                <w:rFonts w:hint="eastAsia" w:ascii="宋体" w:hAnsi="宋体" w:cs="宋体"/>
                <w:kern w:val="0"/>
                <w:sz w:val="21"/>
                <w:szCs w:val="21"/>
              </w:rPr>
            </w:pPr>
            <w:r>
              <w:rPr>
                <w:rFonts w:hint="eastAsia" w:ascii="宋体" w:hAnsi="宋体" w:cs="宋体"/>
                <w:kern w:val="0"/>
                <w:sz w:val="21"/>
                <w:szCs w:val="21"/>
              </w:rPr>
              <w:t>支持热插拔电源，电源数量≥2</w:t>
            </w:r>
          </w:p>
        </w:tc>
      </w:tr>
      <w:tr w14:paraId="7EC6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91871B6">
            <w:pPr>
              <w:widowControl/>
              <w:jc w:val="left"/>
              <w:rPr>
                <w:rFonts w:hint="eastAsia" w:ascii="宋体" w:hAnsi="宋体" w:cs="宋体"/>
                <w:color w:val="000000"/>
                <w:kern w:val="0"/>
                <w:sz w:val="21"/>
                <w:szCs w:val="21"/>
              </w:rPr>
            </w:pPr>
          </w:p>
        </w:tc>
        <w:tc>
          <w:tcPr>
            <w:tcW w:w="1040" w:type="dxa"/>
            <w:vMerge w:val="continue"/>
            <w:vAlign w:val="center"/>
          </w:tcPr>
          <w:p w14:paraId="79CF1DBE">
            <w:pPr>
              <w:widowControl/>
              <w:jc w:val="left"/>
              <w:rPr>
                <w:rFonts w:hint="eastAsia" w:ascii="宋体" w:hAnsi="宋体" w:cs="宋体"/>
                <w:color w:val="000000"/>
                <w:kern w:val="0"/>
                <w:sz w:val="21"/>
                <w:szCs w:val="21"/>
              </w:rPr>
            </w:pPr>
          </w:p>
        </w:tc>
        <w:tc>
          <w:tcPr>
            <w:tcW w:w="1040" w:type="dxa"/>
            <w:vMerge w:val="continue"/>
            <w:vAlign w:val="center"/>
          </w:tcPr>
          <w:p w14:paraId="19B4FEEE">
            <w:pPr>
              <w:widowControl/>
              <w:jc w:val="left"/>
              <w:rPr>
                <w:rFonts w:hint="eastAsia" w:ascii="宋体" w:hAnsi="宋体" w:cs="宋体"/>
                <w:color w:val="000000"/>
                <w:kern w:val="0"/>
                <w:sz w:val="21"/>
                <w:szCs w:val="21"/>
              </w:rPr>
            </w:pPr>
          </w:p>
        </w:tc>
        <w:tc>
          <w:tcPr>
            <w:tcW w:w="5160" w:type="dxa"/>
            <w:shd w:val="clear" w:color="auto" w:fill="auto"/>
            <w:vAlign w:val="center"/>
          </w:tcPr>
          <w:p w14:paraId="4FA4C282">
            <w:pPr>
              <w:widowControl/>
              <w:jc w:val="left"/>
              <w:rPr>
                <w:rFonts w:hint="eastAsia" w:ascii="宋体" w:hAnsi="宋体" w:cs="宋体"/>
                <w:kern w:val="0"/>
                <w:sz w:val="21"/>
                <w:szCs w:val="21"/>
              </w:rPr>
            </w:pPr>
            <w:r>
              <w:rPr>
                <w:rFonts w:hint="eastAsia" w:ascii="宋体" w:hAnsi="宋体" w:cs="宋体"/>
                <w:kern w:val="0"/>
                <w:sz w:val="21"/>
                <w:szCs w:val="21"/>
              </w:rPr>
              <w:t>风扇支持冗余，风扇数量≥2</w:t>
            </w:r>
          </w:p>
        </w:tc>
      </w:tr>
      <w:tr w14:paraId="5028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B6A37B4">
            <w:pPr>
              <w:widowControl/>
              <w:jc w:val="left"/>
              <w:rPr>
                <w:rFonts w:hint="eastAsia" w:ascii="宋体" w:hAnsi="宋体" w:cs="宋体"/>
                <w:color w:val="000000"/>
                <w:kern w:val="0"/>
                <w:sz w:val="21"/>
                <w:szCs w:val="21"/>
              </w:rPr>
            </w:pPr>
          </w:p>
        </w:tc>
        <w:tc>
          <w:tcPr>
            <w:tcW w:w="1040" w:type="dxa"/>
            <w:vMerge w:val="continue"/>
            <w:vAlign w:val="center"/>
          </w:tcPr>
          <w:p w14:paraId="24E7C218">
            <w:pPr>
              <w:widowControl/>
              <w:jc w:val="left"/>
              <w:rPr>
                <w:rFonts w:hint="eastAsia" w:ascii="宋体" w:hAnsi="宋体" w:cs="宋体"/>
                <w:color w:val="000000"/>
                <w:kern w:val="0"/>
                <w:sz w:val="21"/>
                <w:szCs w:val="21"/>
              </w:rPr>
            </w:pPr>
          </w:p>
        </w:tc>
        <w:tc>
          <w:tcPr>
            <w:tcW w:w="1040" w:type="dxa"/>
            <w:shd w:val="clear" w:color="auto" w:fill="auto"/>
            <w:vAlign w:val="center"/>
          </w:tcPr>
          <w:p w14:paraId="6A0DD40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虚拟化技术</w:t>
            </w:r>
          </w:p>
        </w:tc>
        <w:tc>
          <w:tcPr>
            <w:tcW w:w="5160" w:type="dxa"/>
            <w:shd w:val="clear" w:color="auto" w:fill="auto"/>
            <w:vAlign w:val="center"/>
          </w:tcPr>
          <w:p w14:paraId="2F8D05E9">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支持集群或堆叠多虚一技术，实现单一界面管理多台设备；</w:t>
            </w:r>
          </w:p>
        </w:tc>
      </w:tr>
      <w:tr w14:paraId="268E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0A52017">
            <w:pPr>
              <w:widowControl/>
              <w:jc w:val="left"/>
              <w:rPr>
                <w:rFonts w:hint="eastAsia" w:ascii="宋体" w:hAnsi="宋体" w:cs="宋体"/>
                <w:color w:val="000000"/>
                <w:kern w:val="0"/>
                <w:sz w:val="21"/>
                <w:szCs w:val="21"/>
              </w:rPr>
            </w:pPr>
          </w:p>
        </w:tc>
        <w:tc>
          <w:tcPr>
            <w:tcW w:w="1040" w:type="dxa"/>
            <w:vMerge w:val="continue"/>
            <w:vAlign w:val="center"/>
          </w:tcPr>
          <w:p w14:paraId="19CCDEC9">
            <w:pPr>
              <w:widowControl/>
              <w:jc w:val="left"/>
              <w:rPr>
                <w:rFonts w:hint="eastAsia" w:ascii="宋体" w:hAnsi="宋体" w:cs="宋体"/>
                <w:color w:val="000000"/>
                <w:kern w:val="0"/>
                <w:sz w:val="21"/>
                <w:szCs w:val="21"/>
              </w:rPr>
            </w:pPr>
          </w:p>
        </w:tc>
        <w:tc>
          <w:tcPr>
            <w:tcW w:w="1040" w:type="dxa"/>
            <w:shd w:val="clear" w:color="auto" w:fill="auto"/>
            <w:vAlign w:val="center"/>
          </w:tcPr>
          <w:p w14:paraId="638B82FC">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维保要求</w:t>
            </w:r>
          </w:p>
        </w:tc>
        <w:tc>
          <w:tcPr>
            <w:tcW w:w="5160" w:type="dxa"/>
            <w:shd w:val="clear" w:color="auto" w:fill="auto"/>
            <w:vAlign w:val="center"/>
          </w:tcPr>
          <w:p w14:paraId="7A2CDFB3">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所有设备包含5年原厂维护服务</w:t>
            </w:r>
          </w:p>
        </w:tc>
      </w:tr>
      <w:tr w14:paraId="3843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20" w:type="dxa"/>
            <w:vMerge w:val="continue"/>
            <w:vAlign w:val="center"/>
          </w:tcPr>
          <w:p w14:paraId="5072AA8B">
            <w:pPr>
              <w:widowControl/>
              <w:jc w:val="left"/>
              <w:rPr>
                <w:rFonts w:hint="eastAsia" w:ascii="宋体" w:hAnsi="宋体" w:cs="宋体"/>
                <w:color w:val="000000"/>
                <w:kern w:val="0"/>
                <w:sz w:val="21"/>
                <w:szCs w:val="21"/>
              </w:rPr>
            </w:pPr>
          </w:p>
        </w:tc>
        <w:tc>
          <w:tcPr>
            <w:tcW w:w="1040" w:type="dxa"/>
            <w:vMerge w:val="restart"/>
            <w:shd w:val="clear" w:color="auto" w:fill="auto"/>
            <w:vAlign w:val="center"/>
          </w:tcPr>
          <w:p w14:paraId="5A056EE9">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功能要求</w:t>
            </w:r>
          </w:p>
        </w:tc>
        <w:tc>
          <w:tcPr>
            <w:tcW w:w="1040" w:type="dxa"/>
            <w:shd w:val="clear" w:color="auto" w:fill="auto"/>
            <w:vAlign w:val="center"/>
          </w:tcPr>
          <w:p w14:paraId="1D7CC760">
            <w:pPr>
              <w:widowControl/>
              <w:jc w:val="left"/>
              <w:rPr>
                <w:rFonts w:hint="eastAsia" w:ascii="宋体" w:hAnsi="宋体" w:cs="宋体"/>
                <w:kern w:val="0"/>
                <w:sz w:val="21"/>
                <w:szCs w:val="21"/>
              </w:rPr>
            </w:pPr>
            <w:r>
              <w:rPr>
                <w:rFonts w:hint="eastAsia" w:ascii="宋体" w:hAnsi="宋体" w:cs="宋体"/>
                <w:kern w:val="0"/>
                <w:sz w:val="21"/>
                <w:szCs w:val="21"/>
              </w:rPr>
              <w:t>组播特性</w:t>
            </w:r>
          </w:p>
        </w:tc>
        <w:tc>
          <w:tcPr>
            <w:tcW w:w="5160" w:type="dxa"/>
            <w:shd w:val="clear" w:color="auto" w:fill="auto"/>
            <w:vAlign w:val="center"/>
          </w:tcPr>
          <w:p w14:paraId="56F96279">
            <w:pPr>
              <w:widowControl/>
              <w:jc w:val="left"/>
              <w:rPr>
                <w:rFonts w:hint="eastAsia" w:ascii="宋体" w:hAnsi="宋体" w:cs="宋体"/>
                <w:kern w:val="0"/>
                <w:sz w:val="21"/>
                <w:szCs w:val="21"/>
              </w:rPr>
            </w:pPr>
            <w:r>
              <w:rPr>
                <w:rFonts w:hint="eastAsia" w:ascii="宋体" w:hAnsi="宋体" w:cs="宋体"/>
                <w:kern w:val="0"/>
                <w:sz w:val="21"/>
                <w:szCs w:val="21"/>
              </w:rPr>
              <w:t>支持PIM、PIM-SM、PIM-SSM、IGMPv2、IGMPv3等</w:t>
            </w:r>
          </w:p>
        </w:tc>
      </w:tr>
      <w:tr w14:paraId="4B3F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6C7A2E7">
            <w:pPr>
              <w:widowControl/>
              <w:jc w:val="left"/>
              <w:rPr>
                <w:rFonts w:hint="eastAsia" w:ascii="宋体" w:hAnsi="宋体" w:cs="宋体"/>
                <w:color w:val="000000"/>
                <w:kern w:val="0"/>
                <w:sz w:val="21"/>
                <w:szCs w:val="21"/>
              </w:rPr>
            </w:pPr>
          </w:p>
        </w:tc>
        <w:tc>
          <w:tcPr>
            <w:tcW w:w="1040" w:type="dxa"/>
            <w:vMerge w:val="continue"/>
            <w:vAlign w:val="center"/>
          </w:tcPr>
          <w:p w14:paraId="03C12567">
            <w:pPr>
              <w:widowControl/>
              <w:jc w:val="left"/>
              <w:rPr>
                <w:rFonts w:hint="eastAsia" w:ascii="宋体" w:hAnsi="宋体" w:cs="宋体"/>
                <w:color w:val="000000"/>
                <w:kern w:val="0"/>
                <w:sz w:val="21"/>
                <w:szCs w:val="21"/>
              </w:rPr>
            </w:pPr>
          </w:p>
        </w:tc>
        <w:tc>
          <w:tcPr>
            <w:tcW w:w="1040" w:type="dxa"/>
            <w:shd w:val="clear" w:color="auto" w:fill="auto"/>
            <w:vAlign w:val="center"/>
          </w:tcPr>
          <w:p w14:paraId="23C49DB6">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二层功能</w:t>
            </w:r>
          </w:p>
        </w:tc>
        <w:tc>
          <w:tcPr>
            <w:tcW w:w="5160" w:type="dxa"/>
            <w:shd w:val="clear" w:color="auto" w:fill="auto"/>
            <w:vAlign w:val="center"/>
          </w:tcPr>
          <w:p w14:paraId="48E318EC">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支持ERPS以太环保护协议（G.8032）；</w:t>
            </w:r>
          </w:p>
        </w:tc>
      </w:tr>
      <w:tr w14:paraId="57C6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E5B11A2">
            <w:pPr>
              <w:widowControl/>
              <w:jc w:val="left"/>
              <w:rPr>
                <w:rFonts w:hint="eastAsia" w:ascii="宋体" w:hAnsi="宋体" w:cs="宋体"/>
                <w:color w:val="000000"/>
                <w:kern w:val="0"/>
                <w:sz w:val="21"/>
                <w:szCs w:val="21"/>
              </w:rPr>
            </w:pPr>
          </w:p>
        </w:tc>
        <w:tc>
          <w:tcPr>
            <w:tcW w:w="1040" w:type="dxa"/>
            <w:vMerge w:val="continue"/>
            <w:vAlign w:val="center"/>
          </w:tcPr>
          <w:p w14:paraId="36C064FF">
            <w:pPr>
              <w:widowControl/>
              <w:jc w:val="left"/>
              <w:rPr>
                <w:rFonts w:hint="eastAsia" w:ascii="宋体" w:hAnsi="宋体" w:cs="宋体"/>
                <w:color w:val="000000"/>
                <w:kern w:val="0"/>
                <w:sz w:val="21"/>
                <w:szCs w:val="21"/>
              </w:rPr>
            </w:pPr>
          </w:p>
        </w:tc>
        <w:tc>
          <w:tcPr>
            <w:tcW w:w="1040" w:type="dxa"/>
            <w:vMerge w:val="restart"/>
            <w:shd w:val="clear" w:color="auto" w:fill="auto"/>
            <w:vAlign w:val="center"/>
          </w:tcPr>
          <w:p w14:paraId="0DEF48E8">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三层功能</w:t>
            </w:r>
          </w:p>
        </w:tc>
        <w:tc>
          <w:tcPr>
            <w:tcW w:w="5160" w:type="dxa"/>
            <w:shd w:val="clear" w:color="auto" w:fill="auto"/>
            <w:vAlign w:val="center"/>
          </w:tcPr>
          <w:p w14:paraId="2FCC9D96">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支持RIP、OSPF、ISIS、BGP等IPv4动态路由协议；</w:t>
            </w:r>
          </w:p>
        </w:tc>
      </w:tr>
      <w:tr w14:paraId="2D52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D34375D">
            <w:pPr>
              <w:widowControl/>
              <w:jc w:val="left"/>
              <w:rPr>
                <w:rFonts w:hint="eastAsia" w:ascii="宋体" w:hAnsi="宋体" w:cs="宋体"/>
                <w:color w:val="000000"/>
                <w:kern w:val="0"/>
                <w:sz w:val="21"/>
                <w:szCs w:val="21"/>
              </w:rPr>
            </w:pPr>
          </w:p>
        </w:tc>
        <w:tc>
          <w:tcPr>
            <w:tcW w:w="1040" w:type="dxa"/>
            <w:vMerge w:val="continue"/>
            <w:vAlign w:val="center"/>
          </w:tcPr>
          <w:p w14:paraId="073CD483">
            <w:pPr>
              <w:widowControl/>
              <w:jc w:val="left"/>
              <w:rPr>
                <w:rFonts w:hint="eastAsia" w:ascii="宋体" w:hAnsi="宋体" w:cs="宋体"/>
                <w:color w:val="000000"/>
                <w:kern w:val="0"/>
                <w:sz w:val="21"/>
                <w:szCs w:val="21"/>
              </w:rPr>
            </w:pPr>
          </w:p>
        </w:tc>
        <w:tc>
          <w:tcPr>
            <w:tcW w:w="1040" w:type="dxa"/>
            <w:vMerge w:val="continue"/>
            <w:vAlign w:val="center"/>
          </w:tcPr>
          <w:p w14:paraId="43B16474">
            <w:pPr>
              <w:widowControl/>
              <w:jc w:val="left"/>
              <w:rPr>
                <w:rFonts w:hint="eastAsia" w:ascii="宋体" w:hAnsi="宋体" w:cs="宋体"/>
                <w:color w:val="000000"/>
                <w:kern w:val="0"/>
                <w:sz w:val="21"/>
                <w:szCs w:val="21"/>
              </w:rPr>
            </w:pPr>
          </w:p>
        </w:tc>
        <w:tc>
          <w:tcPr>
            <w:tcW w:w="5160" w:type="dxa"/>
            <w:shd w:val="clear" w:color="auto" w:fill="auto"/>
            <w:vAlign w:val="center"/>
          </w:tcPr>
          <w:p w14:paraId="07679F3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支持BFD for OSPF，BGP，IS-IS，Static Route；</w:t>
            </w:r>
          </w:p>
        </w:tc>
      </w:tr>
      <w:tr w14:paraId="74CD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08BDFC0">
            <w:pPr>
              <w:widowControl/>
              <w:jc w:val="left"/>
              <w:rPr>
                <w:rFonts w:hint="eastAsia" w:ascii="宋体" w:hAnsi="宋体" w:cs="宋体"/>
                <w:color w:val="000000"/>
                <w:kern w:val="0"/>
                <w:sz w:val="21"/>
                <w:szCs w:val="21"/>
              </w:rPr>
            </w:pPr>
          </w:p>
        </w:tc>
        <w:tc>
          <w:tcPr>
            <w:tcW w:w="1040" w:type="dxa"/>
            <w:vMerge w:val="continue"/>
            <w:vAlign w:val="center"/>
          </w:tcPr>
          <w:p w14:paraId="7113BCA9">
            <w:pPr>
              <w:widowControl/>
              <w:jc w:val="left"/>
              <w:rPr>
                <w:rFonts w:hint="eastAsia" w:ascii="宋体" w:hAnsi="宋体" w:cs="宋体"/>
                <w:color w:val="000000"/>
                <w:kern w:val="0"/>
                <w:sz w:val="21"/>
                <w:szCs w:val="21"/>
              </w:rPr>
            </w:pPr>
          </w:p>
        </w:tc>
        <w:tc>
          <w:tcPr>
            <w:tcW w:w="1040" w:type="dxa"/>
            <w:vMerge w:val="continue"/>
            <w:vAlign w:val="center"/>
          </w:tcPr>
          <w:p w14:paraId="1D399F86">
            <w:pPr>
              <w:widowControl/>
              <w:jc w:val="left"/>
              <w:rPr>
                <w:rFonts w:hint="eastAsia" w:ascii="宋体" w:hAnsi="宋体" w:cs="宋体"/>
                <w:color w:val="000000"/>
                <w:kern w:val="0"/>
                <w:sz w:val="21"/>
                <w:szCs w:val="21"/>
              </w:rPr>
            </w:pPr>
          </w:p>
        </w:tc>
        <w:tc>
          <w:tcPr>
            <w:tcW w:w="5160" w:type="dxa"/>
            <w:shd w:val="clear" w:color="auto" w:fill="auto"/>
            <w:vAlign w:val="center"/>
          </w:tcPr>
          <w:p w14:paraId="46A9A288">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支持IPv6 ND、PMTU发现；</w:t>
            </w:r>
          </w:p>
        </w:tc>
      </w:tr>
      <w:tr w14:paraId="7217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D58652A">
            <w:pPr>
              <w:widowControl/>
              <w:jc w:val="left"/>
              <w:rPr>
                <w:rFonts w:hint="eastAsia" w:ascii="宋体" w:hAnsi="宋体" w:cs="宋体"/>
                <w:color w:val="000000"/>
                <w:kern w:val="0"/>
                <w:sz w:val="21"/>
                <w:szCs w:val="21"/>
              </w:rPr>
            </w:pPr>
          </w:p>
        </w:tc>
        <w:tc>
          <w:tcPr>
            <w:tcW w:w="1040" w:type="dxa"/>
            <w:vMerge w:val="continue"/>
            <w:vAlign w:val="center"/>
          </w:tcPr>
          <w:p w14:paraId="432DF2B8">
            <w:pPr>
              <w:widowControl/>
              <w:jc w:val="left"/>
              <w:rPr>
                <w:rFonts w:hint="eastAsia" w:ascii="宋体" w:hAnsi="宋体" w:cs="宋体"/>
                <w:color w:val="000000"/>
                <w:kern w:val="0"/>
                <w:sz w:val="21"/>
                <w:szCs w:val="21"/>
              </w:rPr>
            </w:pPr>
          </w:p>
        </w:tc>
        <w:tc>
          <w:tcPr>
            <w:tcW w:w="1040" w:type="dxa"/>
            <w:shd w:val="clear" w:color="auto" w:fill="auto"/>
            <w:vAlign w:val="center"/>
          </w:tcPr>
          <w:p w14:paraId="54C55D6D">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SNMP</w:t>
            </w:r>
          </w:p>
        </w:tc>
        <w:tc>
          <w:tcPr>
            <w:tcW w:w="5160" w:type="dxa"/>
            <w:shd w:val="clear" w:color="auto" w:fill="auto"/>
            <w:vAlign w:val="center"/>
          </w:tcPr>
          <w:p w14:paraId="329DFD9C">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支持SNMP V1/V2/V3、Telnet、RMON、SSH；</w:t>
            </w:r>
          </w:p>
        </w:tc>
      </w:tr>
    </w:tbl>
    <w:p w14:paraId="78D1D744">
      <w:pPr>
        <w:pStyle w:val="2"/>
        <w:ind w:left="0" w:leftChars="0" w:firstLine="0" w:firstLineChars="0"/>
      </w:pPr>
    </w:p>
    <w:p w14:paraId="253C33EE">
      <w:pPr>
        <w:pStyle w:val="2"/>
        <w:ind w:left="0" w:leftChars="0" w:firstLine="0" w:firstLineChars="0"/>
      </w:pPr>
    </w:p>
    <w:p w14:paraId="11A0FE6A">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3.4.5千兆交换机（专线接入）共2台</w:t>
      </w:r>
    </w:p>
    <w:tbl>
      <w:tblPr>
        <w:tblStyle w:val="19"/>
        <w:tblW w:w="84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400"/>
        <w:gridCol w:w="5160"/>
      </w:tblGrid>
      <w:tr w14:paraId="0A61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820" w:type="dxa"/>
            <w:shd w:val="clear" w:color="auto" w:fill="auto"/>
            <w:vAlign w:val="bottom"/>
          </w:tcPr>
          <w:p w14:paraId="684CF0E3">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项目名称</w:t>
            </w:r>
          </w:p>
        </w:tc>
        <w:tc>
          <w:tcPr>
            <w:tcW w:w="1040" w:type="dxa"/>
            <w:shd w:val="clear" w:color="auto" w:fill="auto"/>
            <w:vAlign w:val="center"/>
          </w:tcPr>
          <w:p w14:paraId="6AC22022">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类别</w:t>
            </w:r>
          </w:p>
        </w:tc>
        <w:tc>
          <w:tcPr>
            <w:tcW w:w="1400" w:type="dxa"/>
            <w:shd w:val="clear" w:color="auto" w:fill="auto"/>
            <w:vAlign w:val="center"/>
          </w:tcPr>
          <w:p w14:paraId="3457B93B">
            <w:pPr>
              <w:widowControl/>
              <w:jc w:val="left"/>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要求项</w:t>
            </w:r>
          </w:p>
        </w:tc>
        <w:tc>
          <w:tcPr>
            <w:tcW w:w="5160" w:type="dxa"/>
            <w:shd w:val="clear" w:color="auto" w:fill="auto"/>
            <w:vAlign w:val="center"/>
          </w:tcPr>
          <w:p w14:paraId="2469D019">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要求明细</w:t>
            </w:r>
          </w:p>
        </w:tc>
      </w:tr>
      <w:tr w14:paraId="5FA3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46CB9833">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IDC网络设备升级项目三期</w:t>
            </w:r>
          </w:p>
        </w:tc>
        <w:tc>
          <w:tcPr>
            <w:tcW w:w="1040" w:type="dxa"/>
            <w:vMerge w:val="restart"/>
            <w:shd w:val="clear" w:color="auto" w:fill="auto"/>
            <w:vAlign w:val="center"/>
          </w:tcPr>
          <w:p w14:paraId="0B9AAEF4">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★基础要求</w:t>
            </w:r>
          </w:p>
        </w:tc>
        <w:tc>
          <w:tcPr>
            <w:tcW w:w="1400" w:type="dxa"/>
            <w:shd w:val="clear" w:color="auto" w:fill="auto"/>
            <w:vAlign w:val="center"/>
          </w:tcPr>
          <w:p w14:paraId="483672A0">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信创要求</w:t>
            </w:r>
          </w:p>
        </w:tc>
        <w:tc>
          <w:tcPr>
            <w:tcW w:w="5160" w:type="dxa"/>
            <w:shd w:val="clear" w:color="000000" w:fill="FFFFFF"/>
            <w:vAlign w:val="bottom"/>
          </w:tcPr>
          <w:p w14:paraId="6BD82F80">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满足信创要求，使用国产芯片和国产操作系统</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kern w:val="0"/>
                <w:sz w:val="21"/>
                <w:szCs w:val="21"/>
              </w:rPr>
              <w:t>（提供证明材料，如官网截图、产品彩页截图、第三方报告等）</w:t>
            </w:r>
          </w:p>
        </w:tc>
      </w:tr>
      <w:tr w14:paraId="2798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38FB9FD">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0BDED22A">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7E315205">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案例要求</w:t>
            </w:r>
          </w:p>
        </w:tc>
        <w:tc>
          <w:tcPr>
            <w:tcW w:w="5160" w:type="dxa"/>
            <w:shd w:val="clear" w:color="auto" w:fill="auto"/>
            <w:vAlign w:val="center"/>
          </w:tcPr>
          <w:p w14:paraId="452495EF">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应标型号要求有在证券行业应用的案例（提供证明材料）</w:t>
            </w:r>
          </w:p>
        </w:tc>
      </w:tr>
      <w:tr w14:paraId="4FD1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9E72028">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22C979B9">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264F63DC">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级别要求</w:t>
            </w:r>
          </w:p>
        </w:tc>
        <w:tc>
          <w:tcPr>
            <w:tcW w:w="5160" w:type="dxa"/>
            <w:shd w:val="clear" w:color="auto" w:fill="auto"/>
            <w:vAlign w:val="center"/>
          </w:tcPr>
          <w:p w14:paraId="4EB6A47F">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要求使用数据中心级别的交换机型号参与竞标</w:t>
            </w:r>
          </w:p>
        </w:tc>
      </w:tr>
      <w:tr w14:paraId="5CD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30ECF1E6">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0D08DD46">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281D7C4E">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排名要求</w:t>
            </w:r>
          </w:p>
        </w:tc>
        <w:tc>
          <w:tcPr>
            <w:tcW w:w="5160" w:type="dxa"/>
            <w:shd w:val="clear" w:color="auto" w:fill="auto"/>
            <w:vAlign w:val="center"/>
          </w:tcPr>
          <w:p w14:paraId="0E3686D1">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2024年中国区数据中心交换机市场份额排名前三（提供第三方权威机构给出的IDC报告证明）</w:t>
            </w:r>
          </w:p>
        </w:tc>
      </w:tr>
      <w:tr w14:paraId="3AEF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69BFE39E">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018C18EB">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76A48DCA">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性能参数</w:t>
            </w:r>
          </w:p>
        </w:tc>
        <w:tc>
          <w:tcPr>
            <w:tcW w:w="5160" w:type="dxa"/>
            <w:shd w:val="clear" w:color="auto" w:fill="auto"/>
            <w:vAlign w:val="center"/>
          </w:tcPr>
          <w:p w14:paraId="21E074D9">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交换容量≥750Gbps，以官网所列最低参数为准</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包转发率≥250Mpps，以官网所列最低参数为准</w:t>
            </w:r>
          </w:p>
        </w:tc>
      </w:tr>
      <w:tr w14:paraId="02E8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E7274D2">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57F84739">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6AD1329E">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端口要求</w:t>
            </w:r>
          </w:p>
        </w:tc>
        <w:tc>
          <w:tcPr>
            <w:tcW w:w="5160" w:type="dxa"/>
            <w:shd w:val="clear" w:color="auto" w:fill="auto"/>
            <w:vAlign w:val="center"/>
          </w:tcPr>
          <w:p w14:paraId="768FBA3A">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千兆电口≥48，万兆光口≥4</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（提供证明材料，如官网截图、产品彩页截图、第三方报告等）</w:t>
            </w:r>
          </w:p>
        </w:tc>
      </w:tr>
      <w:tr w14:paraId="6FC0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1084199">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54C93BE3">
            <w:pPr>
              <w:widowControl/>
              <w:jc w:val="left"/>
              <w:rPr>
                <w:rFonts w:hint="eastAsia" w:asciiTheme="minorEastAsia" w:hAnsiTheme="minorEastAsia" w:eastAsiaTheme="minorEastAsia" w:cstheme="minorEastAsia"/>
                <w:color w:val="000000"/>
                <w:kern w:val="0"/>
                <w:sz w:val="21"/>
                <w:szCs w:val="21"/>
              </w:rPr>
            </w:pPr>
          </w:p>
        </w:tc>
        <w:tc>
          <w:tcPr>
            <w:tcW w:w="1400" w:type="dxa"/>
            <w:vMerge w:val="restart"/>
            <w:shd w:val="clear" w:color="auto" w:fill="auto"/>
            <w:vAlign w:val="center"/>
          </w:tcPr>
          <w:p w14:paraId="470B51E0">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硬件规格</w:t>
            </w:r>
          </w:p>
        </w:tc>
        <w:tc>
          <w:tcPr>
            <w:tcW w:w="5160" w:type="dxa"/>
            <w:shd w:val="clear" w:color="auto" w:fill="auto"/>
            <w:vAlign w:val="center"/>
          </w:tcPr>
          <w:p w14:paraId="1850D31F">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高度=1U</w:t>
            </w:r>
          </w:p>
        </w:tc>
      </w:tr>
      <w:tr w14:paraId="35C1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643CA7E">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61BC1EF6">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08FC9F62">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5E7B282C">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支持热插拔电源，电源数量≥2</w:t>
            </w:r>
          </w:p>
        </w:tc>
      </w:tr>
      <w:tr w14:paraId="2373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C41CB84">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13295FAC">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3547FF5C">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261C36E7">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风扇支持冗余，风扇数量≥2</w:t>
            </w:r>
          </w:p>
        </w:tc>
      </w:tr>
      <w:tr w14:paraId="32DD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E8162E6">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14BBB958">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00C229C2">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虚拟化技术</w:t>
            </w:r>
          </w:p>
        </w:tc>
        <w:tc>
          <w:tcPr>
            <w:tcW w:w="5160" w:type="dxa"/>
            <w:shd w:val="clear" w:color="auto" w:fill="auto"/>
            <w:vAlign w:val="center"/>
          </w:tcPr>
          <w:p w14:paraId="33C8A136">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支持集群或堆叠多虚一技术，实现单一界面管理多台设备；</w:t>
            </w:r>
          </w:p>
        </w:tc>
      </w:tr>
      <w:tr w14:paraId="3620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4E3302A">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4ABBB427">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1DFB2C30">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维保要求</w:t>
            </w:r>
          </w:p>
        </w:tc>
        <w:tc>
          <w:tcPr>
            <w:tcW w:w="5160" w:type="dxa"/>
            <w:shd w:val="clear" w:color="auto" w:fill="auto"/>
            <w:vAlign w:val="center"/>
          </w:tcPr>
          <w:p w14:paraId="47DAF61E">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所有设备包含5年原厂维护服务</w:t>
            </w:r>
          </w:p>
        </w:tc>
      </w:tr>
      <w:tr w14:paraId="6873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20" w:type="dxa"/>
            <w:vMerge w:val="continue"/>
            <w:vAlign w:val="center"/>
          </w:tcPr>
          <w:p w14:paraId="2128F5A9">
            <w:pPr>
              <w:widowControl/>
              <w:jc w:val="left"/>
              <w:rPr>
                <w:rFonts w:hint="eastAsia" w:asciiTheme="minorEastAsia" w:hAnsiTheme="minorEastAsia" w:eastAsiaTheme="minorEastAsia" w:cstheme="minorEastAsia"/>
                <w:color w:val="000000"/>
                <w:kern w:val="0"/>
                <w:sz w:val="21"/>
                <w:szCs w:val="21"/>
              </w:rPr>
            </w:pPr>
          </w:p>
        </w:tc>
        <w:tc>
          <w:tcPr>
            <w:tcW w:w="1040" w:type="dxa"/>
            <w:vMerge w:val="restart"/>
            <w:shd w:val="clear" w:color="auto" w:fill="auto"/>
            <w:vAlign w:val="center"/>
          </w:tcPr>
          <w:p w14:paraId="3B65198E">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功能要求</w:t>
            </w:r>
          </w:p>
        </w:tc>
        <w:tc>
          <w:tcPr>
            <w:tcW w:w="1400" w:type="dxa"/>
            <w:shd w:val="clear" w:color="auto" w:fill="auto"/>
            <w:vAlign w:val="center"/>
          </w:tcPr>
          <w:p w14:paraId="3092292A">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组播特性</w:t>
            </w:r>
          </w:p>
        </w:tc>
        <w:tc>
          <w:tcPr>
            <w:tcW w:w="5160" w:type="dxa"/>
            <w:shd w:val="clear" w:color="auto" w:fill="auto"/>
            <w:vAlign w:val="center"/>
          </w:tcPr>
          <w:p w14:paraId="7241FC28">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支持PIM、PIM-SM、PIM-SSM、IGMPv2、IGMPv3等</w:t>
            </w:r>
          </w:p>
        </w:tc>
      </w:tr>
      <w:tr w14:paraId="3A63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3A0FFD7">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4283B060">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51122179">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二层功能</w:t>
            </w:r>
          </w:p>
        </w:tc>
        <w:tc>
          <w:tcPr>
            <w:tcW w:w="5160" w:type="dxa"/>
            <w:shd w:val="clear" w:color="auto" w:fill="auto"/>
            <w:vAlign w:val="center"/>
          </w:tcPr>
          <w:p w14:paraId="3F9B0D8D">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支持ERPS以太环保护协议（G.8032）；</w:t>
            </w:r>
          </w:p>
        </w:tc>
      </w:tr>
      <w:tr w14:paraId="4B8A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E9514C3">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584A3FC0">
            <w:pPr>
              <w:widowControl/>
              <w:jc w:val="left"/>
              <w:rPr>
                <w:rFonts w:hint="eastAsia" w:asciiTheme="minorEastAsia" w:hAnsiTheme="minorEastAsia" w:eastAsiaTheme="minorEastAsia" w:cstheme="minorEastAsia"/>
                <w:color w:val="000000"/>
                <w:kern w:val="0"/>
                <w:sz w:val="21"/>
                <w:szCs w:val="21"/>
              </w:rPr>
            </w:pPr>
          </w:p>
        </w:tc>
        <w:tc>
          <w:tcPr>
            <w:tcW w:w="1400" w:type="dxa"/>
            <w:vMerge w:val="restart"/>
            <w:shd w:val="clear" w:color="auto" w:fill="auto"/>
            <w:vAlign w:val="center"/>
          </w:tcPr>
          <w:p w14:paraId="337C8A75">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三层功能</w:t>
            </w:r>
          </w:p>
        </w:tc>
        <w:tc>
          <w:tcPr>
            <w:tcW w:w="5160" w:type="dxa"/>
            <w:shd w:val="clear" w:color="auto" w:fill="auto"/>
            <w:vAlign w:val="center"/>
          </w:tcPr>
          <w:p w14:paraId="4BD87EF3">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支持RIP、OSPF、ISIS、BGP等IPv4动态路由协议；</w:t>
            </w:r>
          </w:p>
        </w:tc>
      </w:tr>
      <w:tr w14:paraId="4361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E63A5D7">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3FDE02B8">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431B2FF9">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050C4937">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支持BFD for OSPF，BGP，IS-IS，Static Route；</w:t>
            </w:r>
          </w:p>
        </w:tc>
      </w:tr>
      <w:tr w14:paraId="7632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B218E2A">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21579E54">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3961B16A">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73E0127C">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支持IPv6 ND、PMTU发现；</w:t>
            </w:r>
          </w:p>
        </w:tc>
      </w:tr>
      <w:tr w14:paraId="64FF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trPr>
        <w:tc>
          <w:tcPr>
            <w:tcW w:w="820" w:type="dxa"/>
            <w:vMerge w:val="continue"/>
            <w:vAlign w:val="center"/>
          </w:tcPr>
          <w:p w14:paraId="7B980F69">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13942B27">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36484252">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SNMP</w:t>
            </w:r>
          </w:p>
        </w:tc>
        <w:tc>
          <w:tcPr>
            <w:tcW w:w="5160" w:type="dxa"/>
            <w:shd w:val="clear" w:color="auto" w:fill="auto"/>
            <w:vAlign w:val="center"/>
          </w:tcPr>
          <w:p w14:paraId="0D2524C0">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支持SNMP V1/V2/V3、Telnet、RMON、SSH；</w:t>
            </w:r>
          </w:p>
        </w:tc>
      </w:tr>
      <w:tr w14:paraId="79DE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B18F8E6">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48115B02">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5CDD3231">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流量分析</w:t>
            </w:r>
          </w:p>
        </w:tc>
        <w:tc>
          <w:tcPr>
            <w:tcW w:w="5160" w:type="dxa"/>
            <w:shd w:val="clear" w:color="auto" w:fill="auto"/>
            <w:vAlign w:val="center"/>
          </w:tcPr>
          <w:p w14:paraId="2CDB732B">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支持Netstream技术；</w:t>
            </w:r>
          </w:p>
        </w:tc>
      </w:tr>
    </w:tbl>
    <w:p w14:paraId="5671764F">
      <w:pPr>
        <w:pStyle w:val="2"/>
        <w:ind w:left="0" w:leftChars="0" w:firstLine="0" w:firstLineChars="0"/>
      </w:pPr>
    </w:p>
    <w:p w14:paraId="59D4858C">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3.4.6 千兆交换机（服务器用）共4台</w:t>
      </w:r>
    </w:p>
    <w:tbl>
      <w:tblPr>
        <w:tblStyle w:val="19"/>
        <w:tblW w:w="84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400"/>
        <w:gridCol w:w="5160"/>
      </w:tblGrid>
      <w:tr w14:paraId="1BAD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20" w:type="dxa"/>
            <w:shd w:val="clear" w:color="auto" w:fill="auto"/>
            <w:vAlign w:val="bottom"/>
          </w:tcPr>
          <w:p w14:paraId="49142553">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项目名称</w:t>
            </w:r>
          </w:p>
        </w:tc>
        <w:tc>
          <w:tcPr>
            <w:tcW w:w="1040" w:type="dxa"/>
            <w:shd w:val="clear" w:color="auto" w:fill="auto"/>
            <w:vAlign w:val="center"/>
          </w:tcPr>
          <w:p w14:paraId="24E8B659">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类别</w:t>
            </w:r>
          </w:p>
        </w:tc>
        <w:tc>
          <w:tcPr>
            <w:tcW w:w="1400" w:type="dxa"/>
            <w:shd w:val="clear" w:color="auto" w:fill="auto"/>
            <w:vAlign w:val="center"/>
          </w:tcPr>
          <w:p w14:paraId="0EA83BF8">
            <w:pPr>
              <w:widowControl/>
              <w:jc w:val="left"/>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要求项</w:t>
            </w:r>
          </w:p>
        </w:tc>
        <w:tc>
          <w:tcPr>
            <w:tcW w:w="5160" w:type="dxa"/>
            <w:shd w:val="clear" w:color="auto" w:fill="auto"/>
            <w:vAlign w:val="center"/>
          </w:tcPr>
          <w:p w14:paraId="67113F15">
            <w:pPr>
              <w:widowControl/>
              <w:jc w:val="cente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rPr>
              <w:t>要求明细</w:t>
            </w:r>
          </w:p>
        </w:tc>
      </w:tr>
      <w:tr w14:paraId="5FFD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795D012F">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IDC网络设备升级项目三期</w:t>
            </w:r>
          </w:p>
        </w:tc>
        <w:tc>
          <w:tcPr>
            <w:tcW w:w="1040" w:type="dxa"/>
            <w:vMerge w:val="restart"/>
            <w:shd w:val="clear" w:color="auto" w:fill="auto"/>
            <w:vAlign w:val="center"/>
          </w:tcPr>
          <w:p w14:paraId="000365F5">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★基础要求</w:t>
            </w:r>
          </w:p>
        </w:tc>
        <w:tc>
          <w:tcPr>
            <w:tcW w:w="1400" w:type="dxa"/>
            <w:shd w:val="clear" w:color="auto" w:fill="auto"/>
            <w:vAlign w:val="center"/>
          </w:tcPr>
          <w:p w14:paraId="1D6B217A">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信创要求</w:t>
            </w:r>
          </w:p>
        </w:tc>
        <w:tc>
          <w:tcPr>
            <w:tcW w:w="5160" w:type="dxa"/>
            <w:shd w:val="clear" w:color="000000" w:fill="FFFFFF"/>
            <w:vAlign w:val="bottom"/>
          </w:tcPr>
          <w:p w14:paraId="31F00503">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满足信创要求，使用国产芯片和国产操作系统</w:t>
            </w:r>
            <w:r>
              <w:rPr>
                <w:rFonts w:hint="eastAsia" w:asciiTheme="minorEastAsia" w:hAnsiTheme="minorEastAsia" w:eastAsiaTheme="minorEastAsia" w:cstheme="minorEastAsia"/>
                <w:kern w:val="0"/>
                <w:sz w:val="21"/>
                <w:szCs w:val="21"/>
              </w:rPr>
              <w:br w:type="textWrapping"/>
            </w:r>
            <w:r>
              <w:rPr>
                <w:rFonts w:hint="eastAsia" w:asciiTheme="minorEastAsia" w:hAnsiTheme="minorEastAsia" w:eastAsiaTheme="minorEastAsia" w:cstheme="minorEastAsia"/>
                <w:kern w:val="0"/>
                <w:sz w:val="21"/>
                <w:szCs w:val="21"/>
              </w:rPr>
              <w:t>（提供证明材料，如官网截图、产品彩页截图、第三方报告等）</w:t>
            </w:r>
          </w:p>
        </w:tc>
      </w:tr>
      <w:tr w14:paraId="25F6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B09455E">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7DB6D97F">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6AC2DFBC">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案例要求</w:t>
            </w:r>
          </w:p>
        </w:tc>
        <w:tc>
          <w:tcPr>
            <w:tcW w:w="5160" w:type="dxa"/>
            <w:shd w:val="clear" w:color="auto" w:fill="auto"/>
            <w:vAlign w:val="center"/>
          </w:tcPr>
          <w:p w14:paraId="510E2037">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应标型号要求有在证券行业应用的案例（提供证明材料）</w:t>
            </w:r>
          </w:p>
        </w:tc>
      </w:tr>
      <w:tr w14:paraId="35C4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36CF6AF">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06403FBD">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69D9F6EC">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级别要求</w:t>
            </w:r>
          </w:p>
        </w:tc>
        <w:tc>
          <w:tcPr>
            <w:tcW w:w="5160" w:type="dxa"/>
            <w:shd w:val="clear" w:color="auto" w:fill="auto"/>
            <w:vAlign w:val="center"/>
          </w:tcPr>
          <w:p w14:paraId="69E29D97">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要求使用数据中心级别的交换机型号参与竞标</w:t>
            </w:r>
          </w:p>
        </w:tc>
      </w:tr>
      <w:tr w14:paraId="678C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5044C698">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7983852A">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45989531">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排名要求</w:t>
            </w:r>
          </w:p>
        </w:tc>
        <w:tc>
          <w:tcPr>
            <w:tcW w:w="5160" w:type="dxa"/>
            <w:shd w:val="clear" w:color="auto" w:fill="auto"/>
            <w:vAlign w:val="center"/>
          </w:tcPr>
          <w:p w14:paraId="09A0593D">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2024年中国区数据中心交换机市场份额排名前三（提供第三方权威机构给出的IDC报告证明）</w:t>
            </w:r>
          </w:p>
        </w:tc>
      </w:tr>
      <w:tr w14:paraId="4DF6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648EA06">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36468AA6">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4B41CB0F">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性能参数</w:t>
            </w:r>
          </w:p>
        </w:tc>
        <w:tc>
          <w:tcPr>
            <w:tcW w:w="5160" w:type="dxa"/>
            <w:shd w:val="clear" w:color="auto" w:fill="auto"/>
            <w:vAlign w:val="center"/>
          </w:tcPr>
          <w:p w14:paraId="3617E69A">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交换容量≥750Gbps，以官网所列最低参数为准</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包转发率≥250Mpps，以官网所列最低参数为准</w:t>
            </w:r>
          </w:p>
        </w:tc>
      </w:tr>
      <w:tr w14:paraId="0088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0FB0219">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388C1BC6">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72125897">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端口要求</w:t>
            </w:r>
          </w:p>
        </w:tc>
        <w:tc>
          <w:tcPr>
            <w:tcW w:w="5160" w:type="dxa"/>
            <w:shd w:val="clear" w:color="auto" w:fill="auto"/>
            <w:vAlign w:val="center"/>
          </w:tcPr>
          <w:p w14:paraId="44DD801B">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千兆电口≥48，万兆光口≥4</w:t>
            </w:r>
            <w:r>
              <w:rPr>
                <w:rFonts w:hint="eastAsia" w:asciiTheme="minorEastAsia" w:hAnsiTheme="minorEastAsia" w:eastAsiaTheme="minorEastAsia" w:cstheme="minorEastAsia"/>
                <w:color w:val="000000"/>
                <w:kern w:val="0"/>
                <w:sz w:val="21"/>
                <w:szCs w:val="21"/>
              </w:rPr>
              <w:br w:type="textWrapping"/>
            </w:r>
            <w:r>
              <w:rPr>
                <w:rFonts w:hint="eastAsia" w:asciiTheme="minorEastAsia" w:hAnsiTheme="minorEastAsia" w:eastAsiaTheme="minorEastAsia" w:cstheme="minorEastAsia"/>
                <w:color w:val="000000"/>
                <w:kern w:val="0"/>
                <w:sz w:val="21"/>
                <w:szCs w:val="21"/>
              </w:rPr>
              <w:t>（提供证明材料，如官网截图、产品彩页截图、第三方报告等）</w:t>
            </w:r>
          </w:p>
        </w:tc>
      </w:tr>
      <w:tr w14:paraId="00A3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D70CECE">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3BBA7128">
            <w:pPr>
              <w:widowControl/>
              <w:jc w:val="left"/>
              <w:rPr>
                <w:rFonts w:hint="eastAsia" w:asciiTheme="minorEastAsia" w:hAnsiTheme="minorEastAsia" w:eastAsiaTheme="minorEastAsia" w:cstheme="minorEastAsia"/>
                <w:color w:val="000000"/>
                <w:kern w:val="0"/>
                <w:sz w:val="21"/>
                <w:szCs w:val="21"/>
              </w:rPr>
            </w:pPr>
          </w:p>
        </w:tc>
        <w:tc>
          <w:tcPr>
            <w:tcW w:w="1400" w:type="dxa"/>
            <w:vMerge w:val="restart"/>
            <w:shd w:val="clear" w:color="auto" w:fill="auto"/>
            <w:vAlign w:val="center"/>
          </w:tcPr>
          <w:p w14:paraId="7A93D2F9">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硬件规格</w:t>
            </w:r>
          </w:p>
        </w:tc>
        <w:tc>
          <w:tcPr>
            <w:tcW w:w="5160" w:type="dxa"/>
            <w:shd w:val="clear" w:color="auto" w:fill="auto"/>
            <w:vAlign w:val="center"/>
          </w:tcPr>
          <w:p w14:paraId="14118EE6">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高度=1U</w:t>
            </w:r>
          </w:p>
        </w:tc>
      </w:tr>
      <w:tr w14:paraId="294B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6C38F79">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3763ECDA">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0F8228A6">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0F5E2201">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支持热插拔电源，电源数量≥2</w:t>
            </w:r>
          </w:p>
        </w:tc>
      </w:tr>
      <w:tr w14:paraId="5938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44759D5">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004E0757">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4C7C489B">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56FA3E65">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风扇支持冗余，风扇数量≥2</w:t>
            </w:r>
          </w:p>
        </w:tc>
      </w:tr>
      <w:tr w14:paraId="1890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B782499">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7B20E96E">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38A817DF">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虚拟化技术</w:t>
            </w:r>
          </w:p>
        </w:tc>
        <w:tc>
          <w:tcPr>
            <w:tcW w:w="5160" w:type="dxa"/>
            <w:shd w:val="clear" w:color="auto" w:fill="auto"/>
            <w:vAlign w:val="center"/>
          </w:tcPr>
          <w:p w14:paraId="23A8AA0B">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支持集群或堆叠多虚一技术，实现单一界面管理多台设备；</w:t>
            </w:r>
          </w:p>
        </w:tc>
      </w:tr>
      <w:tr w14:paraId="5076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E4C422A">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7E93466E">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7301EFDB">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堆叠</w:t>
            </w:r>
          </w:p>
        </w:tc>
        <w:tc>
          <w:tcPr>
            <w:tcW w:w="5160" w:type="dxa"/>
            <w:shd w:val="clear" w:color="auto" w:fill="auto"/>
            <w:vAlign w:val="center"/>
          </w:tcPr>
          <w:p w14:paraId="2C5B952D">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每台设备配置5米万兆堆叠线缆1条并包含模块</w:t>
            </w:r>
          </w:p>
        </w:tc>
      </w:tr>
      <w:tr w14:paraId="29C6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5B6B797">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7DAE0B1F">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18ED9A6D">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维保要求</w:t>
            </w:r>
          </w:p>
        </w:tc>
        <w:tc>
          <w:tcPr>
            <w:tcW w:w="5160" w:type="dxa"/>
            <w:shd w:val="clear" w:color="auto" w:fill="auto"/>
            <w:vAlign w:val="center"/>
          </w:tcPr>
          <w:p w14:paraId="6E4A0C4E">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所有设备包含5年原厂维护服务</w:t>
            </w:r>
          </w:p>
        </w:tc>
      </w:tr>
      <w:tr w14:paraId="368F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20" w:type="dxa"/>
            <w:vMerge w:val="continue"/>
            <w:vAlign w:val="center"/>
          </w:tcPr>
          <w:p w14:paraId="51B7D8A5">
            <w:pPr>
              <w:widowControl/>
              <w:jc w:val="left"/>
              <w:rPr>
                <w:rFonts w:hint="eastAsia" w:asciiTheme="minorEastAsia" w:hAnsiTheme="minorEastAsia" w:eastAsiaTheme="minorEastAsia" w:cstheme="minorEastAsia"/>
                <w:color w:val="000000"/>
                <w:kern w:val="0"/>
                <w:sz w:val="21"/>
                <w:szCs w:val="21"/>
              </w:rPr>
            </w:pPr>
          </w:p>
        </w:tc>
        <w:tc>
          <w:tcPr>
            <w:tcW w:w="1040" w:type="dxa"/>
            <w:vMerge w:val="restart"/>
            <w:shd w:val="clear" w:color="auto" w:fill="auto"/>
            <w:vAlign w:val="center"/>
          </w:tcPr>
          <w:p w14:paraId="14FF099C">
            <w:pPr>
              <w:widowControl/>
              <w:jc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功能要求</w:t>
            </w:r>
          </w:p>
        </w:tc>
        <w:tc>
          <w:tcPr>
            <w:tcW w:w="1400" w:type="dxa"/>
            <w:shd w:val="clear" w:color="auto" w:fill="auto"/>
            <w:vAlign w:val="center"/>
          </w:tcPr>
          <w:p w14:paraId="17206D15">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组播特性</w:t>
            </w:r>
          </w:p>
        </w:tc>
        <w:tc>
          <w:tcPr>
            <w:tcW w:w="5160" w:type="dxa"/>
            <w:shd w:val="clear" w:color="auto" w:fill="auto"/>
            <w:vAlign w:val="center"/>
          </w:tcPr>
          <w:p w14:paraId="52057613">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支持PIM、PIM-SM、PIM-SSM、IGMPv2、IGMPv3等</w:t>
            </w:r>
          </w:p>
        </w:tc>
      </w:tr>
      <w:tr w14:paraId="6263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F11FF47">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307B28E0">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7FDBEA4B">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二层功能</w:t>
            </w:r>
          </w:p>
        </w:tc>
        <w:tc>
          <w:tcPr>
            <w:tcW w:w="5160" w:type="dxa"/>
            <w:shd w:val="clear" w:color="auto" w:fill="auto"/>
            <w:vAlign w:val="center"/>
          </w:tcPr>
          <w:p w14:paraId="32B8460B">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支持ERPS以太环保护协议（G.8032）；</w:t>
            </w:r>
          </w:p>
        </w:tc>
      </w:tr>
      <w:tr w14:paraId="05A5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D5A8B6B">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05A34C96">
            <w:pPr>
              <w:widowControl/>
              <w:jc w:val="left"/>
              <w:rPr>
                <w:rFonts w:hint="eastAsia" w:asciiTheme="minorEastAsia" w:hAnsiTheme="minorEastAsia" w:eastAsiaTheme="minorEastAsia" w:cstheme="minorEastAsia"/>
                <w:color w:val="000000"/>
                <w:kern w:val="0"/>
                <w:sz w:val="21"/>
                <w:szCs w:val="21"/>
              </w:rPr>
            </w:pPr>
          </w:p>
        </w:tc>
        <w:tc>
          <w:tcPr>
            <w:tcW w:w="1400" w:type="dxa"/>
            <w:vMerge w:val="restart"/>
            <w:shd w:val="clear" w:color="auto" w:fill="auto"/>
            <w:vAlign w:val="center"/>
          </w:tcPr>
          <w:p w14:paraId="64BDB942">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三层功能</w:t>
            </w:r>
          </w:p>
        </w:tc>
        <w:tc>
          <w:tcPr>
            <w:tcW w:w="5160" w:type="dxa"/>
            <w:shd w:val="clear" w:color="auto" w:fill="auto"/>
            <w:vAlign w:val="center"/>
          </w:tcPr>
          <w:p w14:paraId="5D78FD9B">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支持RIP、OSPF、ISIS、BGP等IPv4动态路由协议；</w:t>
            </w:r>
          </w:p>
        </w:tc>
      </w:tr>
      <w:tr w14:paraId="0030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B9A103A">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706D5EE1">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2EDDC777">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0D39DF19">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支持BFD for OSPF，BGP，IS-IS，Static Route；</w:t>
            </w:r>
          </w:p>
        </w:tc>
      </w:tr>
      <w:tr w14:paraId="74A6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062465E">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353264F5">
            <w:pPr>
              <w:widowControl/>
              <w:jc w:val="left"/>
              <w:rPr>
                <w:rFonts w:hint="eastAsia" w:asciiTheme="minorEastAsia" w:hAnsiTheme="minorEastAsia" w:eastAsiaTheme="minorEastAsia" w:cstheme="minorEastAsia"/>
                <w:color w:val="000000"/>
                <w:kern w:val="0"/>
                <w:sz w:val="21"/>
                <w:szCs w:val="21"/>
              </w:rPr>
            </w:pPr>
          </w:p>
        </w:tc>
        <w:tc>
          <w:tcPr>
            <w:tcW w:w="1400" w:type="dxa"/>
            <w:vMerge w:val="continue"/>
            <w:vAlign w:val="center"/>
          </w:tcPr>
          <w:p w14:paraId="6957E6F0">
            <w:pPr>
              <w:widowControl/>
              <w:jc w:val="left"/>
              <w:rPr>
                <w:rFonts w:hint="eastAsia" w:asciiTheme="minorEastAsia" w:hAnsiTheme="minorEastAsia" w:eastAsiaTheme="minorEastAsia" w:cstheme="minorEastAsia"/>
                <w:color w:val="000000"/>
                <w:kern w:val="0"/>
                <w:sz w:val="21"/>
                <w:szCs w:val="21"/>
              </w:rPr>
            </w:pPr>
          </w:p>
        </w:tc>
        <w:tc>
          <w:tcPr>
            <w:tcW w:w="5160" w:type="dxa"/>
            <w:shd w:val="clear" w:color="auto" w:fill="auto"/>
            <w:vAlign w:val="center"/>
          </w:tcPr>
          <w:p w14:paraId="6C438084">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支持IPv6 ND、PMTU发现；</w:t>
            </w:r>
          </w:p>
        </w:tc>
      </w:tr>
      <w:tr w14:paraId="6168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A0E3993">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7EC37951">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2C120C1E">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SNMP</w:t>
            </w:r>
          </w:p>
        </w:tc>
        <w:tc>
          <w:tcPr>
            <w:tcW w:w="5160" w:type="dxa"/>
            <w:shd w:val="clear" w:color="auto" w:fill="auto"/>
            <w:vAlign w:val="center"/>
          </w:tcPr>
          <w:p w14:paraId="4B679FC2">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支持SNMP V1/V2/V3、Telnet、RMON、SSH；</w:t>
            </w:r>
          </w:p>
        </w:tc>
      </w:tr>
      <w:tr w14:paraId="2F4C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7B02CE3">
            <w:pPr>
              <w:widowControl/>
              <w:jc w:val="left"/>
              <w:rPr>
                <w:rFonts w:hint="eastAsia" w:asciiTheme="minorEastAsia" w:hAnsiTheme="minorEastAsia" w:eastAsiaTheme="minorEastAsia" w:cstheme="minorEastAsia"/>
                <w:color w:val="000000"/>
                <w:kern w:val="0"/>
                <w:sz w:val="21"/>
                <w:szCs w:val="21"/>
              </w:rPr>
            </w:pPr>
          </w:p>
        </w:tc>
        <w:tc>
          <w:tcPr>
            <w:tcW w:w="1040" w:type="dxa"/>
            <w:vMerge w:val="continue"/>
            <w:vAlign w:val="center"/>
          </w:tcPr>
          <w:p w14:paraId="0CB6B285">
            <w:pPr>
              <w:widowControl/>
              <w:jc w:val="left"/>
              <w:rPr>
                <w:rFonts w:hint="eastAsia" w:asciiTheme="minorEastAsia" w:hAnsiTheme="minorEastAsia" w:eastAsiaTheme="minorEastAsia" w:cstheme="minorEastAsia"/>
                <w:color w:val="000000"/>
                <w:kern w:val="0"/>
                <w:sz w:val="21"/>
                <w:szCs w:val="21"/>
              </w:rPr>
            </w:pPr>
          </w:p>
        </w:tc>
        <w:tc>
          <w:tcPr>
            <w:tcW w:w="1400" w:type="dxa"/>
            <w:shd w:val="clear" w:color="auto" w:fill="auto"/>
            <w:vAlign w:val="center"/>
          </w:tcPr>
          <w:p w14:paraId="57EB58AE">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流量分析</w:t>
            </w:r>
          </w:p>
        </w:tc>
        <w:tc>
          <w:tcPr>
            <w:tcW w:w="5160" w:type="dxa"/>
            <w:shd w:val="clear" w:color="auto" w:fill="auto"/>
            <w:vAlign w:val="center"/>
          </w:tcPr>
          <w:p w14:paraId="7AB5E62C">
            <w:pPr>
              <w:widowControl/>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支持Netstream技术；</w:t>
            </w:r>
          </w:p>
        </w:tc>
      </w:tr>
    </w:tbl>
    <w:p w14:paraId="14933185">
      <w:pPr>
        <w:pStyle w:val="2"/>
        <w:ind w:left="0" w:leftChars="0" w:firstLine="0" w:firstLineChars="0"/>
      </w:pPr>
    </w:p>
    <w:p w14:paraId="6DDF6FC4">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3.4.7 万兆交换机共6台</w:t>
      </w:r>
    </w:p>
    <w:tbl>
      <w:tblPr>
        <w:tblStyle w:val="19"/>
        <w:tblW w:w="8420" w:type="dxa"/>
        <w:tblInd w:w="113" w:type="dxa"/>
        <w:tblLayout w:type="autofit"/>
        <w:tblCellMar>
          <w:top w:w="0" w:type="dxa"/>
          <w:left w:w="108" w:type="dxa"/>
          <w:bottom w:w="0" w:type="dxa"/>
          <w:right w:w="108" w:type="dxa"/>
        </w:tblCellMar>
      </w:tblPr>
      <w:tblGrid>
        <w:gridCol w:w="820"/>
        <w:gridCol w:w="1040"/>
        <w:gridCol w:w="1400"/>
        <w:gridCol w:w="5160"/>
      </w:tblGrid>
      <w:tr w14:paraId="340A50ED">
        <w:tblPrEx>
          <w:tblCellMar>
            <w:top w:w="0" w:type="dxa"/>
            <w:left w:w="108" w:type="dxa"/>
            <w:bottom w:w="0" w:type="dxa"/>
            <w:right w:w="108" w:type="dxa"/>
          </w:tblCellMar>
        </w:tblPrEx>
        <w:trPr>
          <w:trHeight w:val="504" w:hRule="atLeast"/>
        </w:trPr>
        <w:tc>
          <w:tcPr>
            <w:tcW w:w="820" w:type="dxa"/>
            <w:tcBorders>
              <w:top w:val="single" w:color="auto" w:sz="4" w:space="0"/>
              <w:left w:val="single" w:color="auto" w:sz="4" w:space="0"/>
              <w:bottom w:val="single" w:color="auto" w:sz="4" w:space="0"/>
              <w:right w:val="single" w:color="auto" w:sz="4" w:space="0"/>
            </w:tcBorders>
            <w:shd w:val="clear" w:color="auto" w:fill="auto"/>
            <w:vAlign w:val="bottom"/>
          </w:tcPr>
          <w:p w14:paraId="2FCF91BD">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项目名称</w:t>
            </w:r>
          </w:p>
        </w:tc>
        <w:tc>
          <w:tcPr>
            <w:tcW w:w="1040" w:type="dxa"/>
            <w:tcBorders>
              <w:top w:val="single" w:color="auto" w:sz="4" w:space="0"/>
              <w:left w:val="nil"/>
              <w:bottom w:val="single" w:color="auto" w:sz="4" w:space="0"/>
              <w:right w:val="single" w:color="auto" w:sz="4" w:space="0"/>
            </w:tcBorders>
            <w:shd w:val="clear" w:color="auto" w:fill="auto"/>
            <w:vAlign w:val="center"/>
          </w:tcPr>
          <w:p w14:paraId="4916C9EA">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类别</w:t>
            </w:r>
          </w:p>
        </w:tc>
        <w:tc>
          <w:tcPr>
            <w:tcW w:w="1400" w:type="dxa"/>
            <w:tcBorders>
              <w:top w:val="single" w:color="auto" w:sz="4" w:space="0"/>
              <w:left w:val="nil"/>
              <w:bottom w:val="single" w:color="auto" w:sz="4" w:space="0"/>
              <w:right w:val="single" w:color="auto" w:sz="4" w:space="0"/>
            </w:tcBorders>
            <w:shd w:val="clear" w:color="auto" w:fill="auto"/>
            <w:vAlign w:val="center"/>
          </w:tcPr>
          <w:p w14:paraId="0A4CF013">
            <w:pPr>
              <w:widowControl/>
              <w:jc w:val="left"/>
              <w:rPr>
                <w:rFonts w:hint="eastAsia" w:ascii="宋体" w:hAnsi="宋体" w:cs="宋体"/>
                <w:b/>
                <w:bCs/>
                <w:color w:val="000000"/>
                <w:kern w:val="0"/>
                <w:sz w:val="21"/>
                <w:szCs w:val="21"/>
              </w:rPr>
            </w:pPr>
            <w:r>
              <w:rPr>
                <w:rFonts w:hint="eastAsia" w:ascii="宋体" w:hAnsi="宋体" w:cs="宋体"/>
                <w:b/>
                <w:bCs/>
                <w:color w:val="000000"/>
                <w:kern w:val="0"/>
                <w:sz w:val="21"/>
                <w:szCs w:val="21"/>
              </w:rPr>
              <w:t>要求项</w:t>
            </w:r>
          </w:p>
        </w:tc>
        <w:tc>
          <w:tcPr>
            <w:tcW w:w="5160" w:type="dxa"/>
            <w:tcBorders>
              <w:top w:val="single" w:color="auto" w:sz="4" w:space="0"/>
              <w:left w:val="nil"/>
              <w:bottom w:val="single" w:color="auto" w:sz="4" w:space="0"/>
              <w:right w:val="single" w:color="auto" w:sz="4" w:space="0"/>
            </w:tcBorders>
            <w:shd w:val="clear" w:color="auto" w:fill="auto"/>
            <w:vAlign w:val="center"/>
          </w:tcPr>
          <w:p w14:paraId="44A2C91E">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要求明细</w:t>
            </w:r>
          </w:p>
        </w:tc>
      </w:tr>
      <w:tr w14:paraId="7EF2D7F9">
        <w:tblPrEx>
          <w:tblCellMar>
            <w:top w:w="0" w:type="dxa"/>
            <w:left w:w="108" w:type="dxa"/>
            <w:bottom w:w="0" w:type="dxa"/>
            <w:right w:w="108" w:type="dxa"/>
          </w:tblCellMar>
        </w:tblPrEx>
        <w:trPr>
          <w:trHeight w:val="456" w:hRule="atLeast"/>
        </w:trPr>
        <w:tc>
          <w:tcPr>
            <w:tcW w:w="820" w:type="dxa"/>
            <w:vMerge w:val="restart"/>
            <w:tcBorders>
              <w:top w:val="nil"/>
              <w:left w:val="single" w:color="auto" w:sz="4" w:space="0"/>
              <w:bottom w:val="single" w:color="auto" w:sz="4" w:space="0"/>
              <w:right w:val="single" w:color="auto" w:sz="4" w:space="0"/>
            </w:tcBorders>
            <w:shd w:val="clear" w:color="auto" w:fill="auto"/>
            <w:vAlign w:val="center"/>
          </w:tcPr>
          <w:p w14:paraId="0ACF6373">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IDC网络设备升级项目三期</w:t>
            </w:r>
          </w:p>
        </w:tc>
        <w:tc>
          <w:tcPr>
            <w:tcW w:w="1040" w:type="dxa"/>
            <w:vMerge w:val="restart"/>
            <w:tcBorders>
              <w:top w:val="nil"/>
              <w:left w:val="single" w:color="auto" w:sz="4" w:space="0"/>
              <w:bottom w:val="single" w:color="auto" w:sz="4" w:space="0"/>
              <w:right w:val="single" w:color="auto" w:sz="4" w:space="0"/>
            </w:tcBorders>
            <w:shd w:val="clear" w:color="auto" w:fill="auto"/>
            <w:vAlign w:val="center"/>
          </w:tcPr>
          <w:p w14:paraId="5126F3F7">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★基础要求</w:t>
            </w:r>
          </w:p>
        </w:tc>
        <w:tc>
          <w:tcPr>
            <w:tcW w:w="1400" w:type="dxa"/>
            <w:tcBorders>
              <w:top w:val="nil"/>
              <w:left w:val="nil"/>
              <w:bottom w:val="single" w:color="auto" w:sz="4" w:space="0"/>
              <w:right w:val="single" w:color="auto" w:sz="4" w:space="0"/>
            </w:tcBorders>
            <w:shd w:val="clear" w:color="auto" w:fill="auto"/>
            <w:vAlign w:val="center"/>
          </w:tcPr>
          <w:p w14:paraId="5E6A259E">
            <w:pPr>
              <w:widowControl/>
              <w:jc w:val="left"/>
              <w:rPr>
                <w:rFonts w:hint="eastAsia" w:ascii="宋体" w:hAnsi="宋体" w:cs="宋体"/>
                <w:kern w:val="0"/>
                <w:sz w:val="21"/>
                <w:szCs w:val="21"/>
              </w:rPr>
            </w:pPr>
            <w:r>
              <w:rPr>
                <w:rFonts w:hint="eastAsia" w:ascii="宋体" w:hAnsi="宋体" w:cs="宋体"/>
                <w:kern w:val="0"/>
                <w:sz w:val="21"/>
                <w:szCs w:val="21"/>
              </w:rPr>
              <w:t>信创要求</w:t>
            </w:r>
          </w:p>
        </w:tc>
        <w:tc>
          <w:tcPr>
            <w:tcW w:w="5160" w:type="dxa"/>
            <w:tcBorders>
              <w:top w:val="nil"/>
              <w:left w:val="nil"/>
              <w:bottom w:val="single" w:color="auto" w:sz="4" w:space="0"/>
              <w:right w:val="single" w:color="auto" w:sz="4" w:space="0"/>
            </w:tcBorders>
            <w:shd w:val="clear" w:color="000000" w:fill="FFFFFF"/>
            <w:vAlign w:val="bottom"/>
          </w:tcPr>
          <w:p w14:paraId="293204E7">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266250B7">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4554654A">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51BEAF35">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1B54709A">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案例要求</w:t>
            </w:r>
          </w:p>
        </w:tc>
        <w:tc>
          <w:tcPr>
            <w:tcW w:w="5160" w:type="dxa"/>
            <w:tcBorders>
              <w:top w:val="nil"/>
              <w:left w:val="nil"/>
              <w:bottom w:val="single" w:color="auto" w:sz="4" w:space="0"/>
              <w:right w:val="single" w:color="auto" w:sz="4" w:space="0"/>
            </w:tcBorders>
            <w:shd w:val="clear" w:color="auto" w:fill="auto"/>
            <w:vAlign w:val="center"/>
          </w:tcPr>
          <w:p w14:paraId="11709073">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应标型号要求有在证券行业应用的案例（提供证明材料）；</w:t>
            </w:r>
          </w:p>
        </w:tc>
      </w:tr>
      <w:tr w14:paraId="71052561">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24BF3427">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5640946F">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068B3F1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级别要求</w:t>
            </w:r>
          </w:p>
        </w:tc>
        <w:tc>
          <w:tcPr>
            <w:tcW w:w="5160" w:type="dxa"/>
            <w:tcBorders>
              <w:top w:val="nil"/>
              <w:left w:val="nil"/>
              <w:bottom w:val="single" w:color="auto" w:sz="4" w:space="0"/>
              <w:right w:val="single" w:color="auto" w:sz="4" w:space="0"/>
            </w:tcBorders>
            <w:shd w:val="clear" w:color="auto" w:fill="auto"/>
            <w:vAlign w:val="center"/>
          </w:tcPr>
          <w:p w14:paraId="27011EB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要求使用数据中心级别的交换机型号参与竞标；</w:t>
            </w:r>
          </w:p>
        </w:tc>
      </w:tr>
      <w:tr w14:paraId="052CFC3B">
        <w:tblPrEx>
          <w:tblCellMar>
            <w:top w:w="0" w:type="dxa"/>
            <w:left w:w="108" w:type="dxa"/>
            <w:bottom w:w="0" w:type="dxa"/>
            <w:right w:w="108" w:type="dxa"/>
          </w:tblCellMar>
        </w:tblPrEx>
        <w:trPr>
          <w:trHeight w:val="648" w:hRule="atLeast"/>
        </w:trPr>
        <w:tc>
          <w:tcPr>
            <w:tcW w:w="820" w:type="dxa"/>
            <w:vMerge w:val="continue"/>
            <w:tcBorders>
              <w:top w:val="nil"/>
              <w:left w:val="single" w:color="auto" w:sz="4" w:space="0"/>
              <w:bottom w:val="single" w:color="auto" w:sz="4" w:space="0"/>
              <w:right w:val="single" w:color="auto" w:sz="4" w:space="0"/>
            </w:tcBorders>
            <w:vAlign w:val="center"/>
          </w:tcPr>
          <w:p w14:paraId="6D77E994">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2C48CFF9">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005F4B0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排名要求</w:t>
            </w:r>
          </w:p>
        </w:tc>
        <w:tc>
          <w:tcPr>
            <w:tcW w:w="5160" w:type="dxa"/>
            <w:tcBorders>
              <w:top w:val="nil"/>
              <w:left w:val="nil"/>
              <w:bottom w:val="single" w:color="auto" w:sz="4" w:space="0"/>
              <w:right w:val="single" w:color="auto" w:sz="4" w:space="0"/>
            </w:tcBorders>
            <w:shd w:val="clear" w:color="auto" w:fill="auto"/>
            <w:vAlign w:val="center"/>
          </w:tcPr>
          <w:p w14:paraId="62CD9DD6">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2024年中国区数据中心交换机市场份额排名前三（提供IDC出具的设备原厂商“数据中心交换机”2024年度中国市场份额排名，本项须提供证明材料复印件并加盖原厂商公章视为有效。）；</w:t>
            </w:r>
          </w:p>
        </w:tc>
      </w:tr>
      <w:tr w14:paraId="0F43BDFF">
        <w:tblPrEx>
          <w:tblCellMar>
            <w:top w:w="0" w:type="dxa"/>
            <w:left w:w="108" w:type="dxa"/>
            <w:bottom w:w="0" w:type="dxa"/>
            <w:right w:w="108" w:type="dxa"/>
          </w:tblCellMar>
        </w:tblPrEx>
        <w:trPr>
          <w:trHeight w:val="432" w:hRule="atLeast"/>
        </w:trPr>
        <w:tc>
          <w:tcPr>
            <w:tcW w:w="820" w:type="dxa"/>
            <w:vMerge w:val="continue"/>
            <w:tcBorders>
              <w:top w:val="nil"/>
              <w:left w:val="single" w:color="auto" w:sz="4" w:space="0"/>
              <w:bottom w:val="single" w:color="auto" w:sz="4" w:space="0"/>
              <w:right w:val="single" w:color="auto" w:sz="4" w:space="0"/>
            </w:tcBorders>
            <w:vAlign w:val="center"/>
          </w:tcPr>
          <w:p w14:paraId="29D50AFF">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6D13AEE0">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2728CA34">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性能参数</w:t>
            </w:r>
          </w:p>
        </w:tc>
        <w:tc>
          <w:tcPr>
            <w:tcW w:w="5160" w:type="dxa"/>
            <w:tcBorders>
              <w:top w:val="nil"/>
              <w:left w:val="nil"/>
              <w:bottom w:val="single" w:color="auto" w:sz="4" w:space="0"/>
              <w:right w:val="single" w:color="auto" w:sz="4" w:space="0"/>
            </w:tcBorders>
            <w:shd w:val="clear" w:color="auto" w:fill="auto"/>
            <w:vAlign w:val="center"/>
          </w:tcPr>
          <w:p w14:paraId="62E1E60F">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交换容量≥4.8Tbps，以官网所列最低参数为准；</w:t>
            </w:r>
            <w:r>
              <w:rPr>
                <w:rFonts w:hint="eastAsia" w:ascii="宋体" w:hAnsi="宋体" w:cs="宋体"/>
                <w:color w:val="000000"/>
                <w:kern w:val="0"/>
                <w:sz w:val="21"/>
                <w:szCs w:val="21"/>
              </w:rPr>
              <w:br w:type="textWrapping"/>
            </w:r>
            <w:r>
              <w:rPr>
                <w:rFonts w:hint="eastAsia" w:ascii="宋体" w:hAnsi="宋体" w:cs="宋体"/>
                <w:color w:val="000000"/>
                <w:kern w:val="0"/>
                <w:sz w:val="21"/>
                <w:szCs w:val="21"/>
              </w:rPr>
              <w:t>包转发率≥2000Mpps，以官网所列最低参数为准；</w:t>
            </w:r>
          </w:p>
        </w:tc>
      </w:tr>
      <w:tr w14:paraId="5D2D5D2A">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34DC8C5F">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0C01DCDA">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3E823D7C">
            <w:pPr>
              <w:widowControl/>
              <w:jc w:val="left"/>
              <w:rPr>
                <w:rFonts w:hint="eastAsia" w:ascii="宋体" w:hAnsi="宋体" w:cs="宋体"/>
                <w:kern w:val="0"/>
                <w:sz w:val="21"/>
                <w:szCs w:val="21"/>
              </w:rPr>
            </w:pPr>
            <w:r>
              <w:rPr>
                <w:rFonts w:hint="eastAsia" w:ascii="宋体" w:hAnsi="宋体" w:cs="宋体"/>
                <w:kern w:val="0"/>
                <w:sz w:val="21"/>
                <w:szCs w:val="21"/>
              </w:rPr>
              <w:t>端口要求</w:t>
            </w:r>
          </w:p>
        </w:tc>
        <w:tc>
          <w:tcPr>
            <w:tcW w:w="5160" w:type="dxa"/>
            <w:tcBorders>
              <w:top w:val="nil"/>
              <w:left w:val="nil"/>
              <w:bottom w:val="single" w:color="auto" w:sz="4" w:space="0"/>
              <w:right w:val="single" w:color="auto" w:sz="4" w:space="0"/>
            </w:tcBorders>
            <w:shd w:val="clear" w:color="auto" w:fill="auto"/>
            <w:vAlign w:val="center"/>
          </w:tcPr>
          <w:p w14:paraId="257D90EB">
            <w:pPr>
              <w:widowControl/>
              <w:jc w:val="left"/>
              <w:rPr>
                <w:rFonts w:hint="eastAsia" w:ascii="宋体" w:hAnsi="宋体" w:cs="宋体"/>
                <w:kern w:val="0"/>
                <w:sz w:val="21"/>
                <w:szCs w:val="21"/>
              </w:rPr>
            </w:pPr>
            <w:r>
              <w:rPr>
                <w:rFonts w:hint="eastAsia" w:ascii="宋体" w:hAnsi="宋体" w:cs="宋体"/>
                <w:kern w:val="0"/>
                <w:sz w:val="21"/>
                <w:szCs w:val="21"/>
              </w:rPr>
              <w:t>支持端口：10GE光端口数量≥48个，40/100GE光接口≥6个；</w:t>
            </w:r>
          </w:p>
        </w:tc>
      </w:tr>
      <w:tr w14:paraId="76E47F0C">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305BED46">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51AA682D">
            <w:pPr>
              <w:widowControl/>
              <w:jc w:val="left"/>
              <w:rPr>
                <w:rFonts w:hint="eastAsia" w:ascii="宋体" w:hAnsi="宋体" w:cs="宋体"/>
                <w:color w:val="000000"/>
                <w:kern w:val="0"/>
                <w:sz w:val="21"/>
                <w:szCs w:val="21"/>
              </w:rPr>
            </w:pPr>
          </w:p>
        </w:tc>
        <w:tc>
          <w:tcPr>
            <w:tcW w:w="1400" w:type="dxa"/>
            <w:vMerge w:val="restart"/>
            <w:tcBorders>
              <w:top w:val="nil"/>
              <w:left w:val="single" w:color="auto" w:sz="4" w:space="0"/>
              <w:bottom w:val="single" w:color="auto" w:sz="4" w:space="0"/>
              <w:right w:val="single" w:color="auto" w:sz="4" w:space="0"/>
            </w:tcBorders>
            <w:shd w:val="clear" w:color="auto" w:fill="auto"/>
            <w:vAlign w:val="center"/>
          </w:tcPr>
          <w:p w14:paraId="116B66B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硬件规格</w:t>
            </w:r>
          </w:p>
        </w:tc>
        <w:tc>
          <w:tcPr>
            <w:tcW w:w="5160" w:type="dxa"/>
            <w:tcBorders>
              <w:top w:val="nil"/>
              <w:left w:val="nil"/>
              <w:bottom w:val="single" w:color="auto" w:sz="4" w:space="0"/>
              <w:right w:val="single" w:color="auto" w:sz="4" w:space="0"/>
            </w:tcBorders>
            <w:shd w:val="clear" w:color="auto" w:fill="auto"/>
            <w:vAlign w:val="center"/>
          </w:tcPr>
          <w:p w14:paraId="604FF7D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高度=1U</w:t>
            </w:r>
          </w:p>
        </w:tc>
      </w:tr>
      <w:tr w14:paraId="3813B599">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36EADE2E">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6B5A5710">
            <w:pPr>
              <w:widowControl/>
              <w:jc w:val="left"/>
              <w:rPr>
                <w:rFonts w:hint="eastAsia" w:ascii="宋体" w:hAnsi="宋体" w:cs="宋体"/>
                <w:color w:val="000000"/>
                <w:kern w:val="0"/>
                <w:sz w:val="21"/>
                <w:szCs w:val="21"/>
              </w:rPr>
            </w:pPr>
          </w:p>
        </w:tc>
        <w:tc>
          <w:tcPr>
            <w:tcW w:w="1400" w:type="dxa"/>
            <w:vMerge w:val="continue"/>
            <w:tcBorders>
              <w:top w:val="nil"/>
              <w:left w:val="single" w:color="auto" w:sz="4" w:space="0"/>
              <w:bottom w:val="single" w:color="auto" w:sz="4" w:space="0"/>
              <w:right w:val="single" w:color="auto" w:sz="4" w:space="0"/>
            </w:tcBorders>
            <w:vAlign w:val="center"/>
          </w:tcPr>
          <w:p w14:paraId="03CADE2D">
            <w:pPr>
              <w:widowControl/>
              <w:jc w:val="left"/>
              <w:rPr>
                <w:rFonts w:hint="eastAsia"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14:paraId="18BA246A">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支持电源1+1备份，热插拔，支持风扇模块3+1备份；</w:t>
            </w:r>
          </w:p>
        </w:tc>
      </w:tr>
      <w:tr w14:paraId="1397E5CE">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672A862C">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656A2CC9">
            <w:pPr>
              <w:widowControl/>
              <w:jc w:val="left"/>
              <w:rPr>
                <w:rFonts w:hint="eastAsia" w:ascii="宋体" w:hAnsi="宋体" w:cs="宋体"/>
                <w:color w:val="000000"/>
                <w:kern w:val="0"/>
                <w:sz w:val="21"/>
                <w:szCs w:val="21"/>
              </w:rPr>
            </w:pPr>
          </w:p>
        </w:tc>
        <w:tc>
          <w:tcPr>
            <w:tcW w:w="1400" w:type="dxa"/>
            <w:vMerge w:val="continue"/>
            <w:tcBorders>
              <w:top w:val="nil"/>
              <w:left w:val="single" w:color="auto" w:sz="4" w:space="0"/>
              <w:bottom w:val="single" w:color="auto" w:sz="4" w:space="0"/>
              <w:right w:val="single" w:color="auto" w:sz="4" w:space="0"/>
            </w:tcBorders>
            <w:vAlign w:val="center"/>
          </w:tcPr>
          <w:p w14:paraId="3544FCF4">
            <w:pPr>
              <w:widowControl/>
              <w:jc w:val="left"/>
              <w:rPr>
                <w:rFonts w:hint="eastAsia"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14:paraId="32A8DFA1">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整机可用缓存≥36MB；</w:t>
            </w:r>
          </w:p>
        </w:tc>
      </w:tr>
      <w:tr w14:paraId="54C51B26">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4557B9CC">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517F9628">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26B06E93">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网络虚拟化</w:t>
            </w:r>
          </w:p>
        </w:tc>
        <w:tc>
          <w:tcPr>
            <w:tcW w:w="5160" w:type="dxa"/>
            <w:tcBorders>
              <w:top w:val="nil"/>
              <w:left w:val="nil"/>
              <w:bottom w:val="single" w:color="auto" w:sz="4" w:space="0"/>
              <w:right w:val="single" w:color="auto" w:sz="4" w:space="0"/>
            </w:tcBorders>
            <w:shd w:val="clear" w:color="auto" w:fill="auto"/>
            <w:vAlign w:val="center"/>
          </w:tcPr>
          <w:p w14:paraId="598EC269">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 VXLAN routing 和 VXLAN bridging，支持 BGP-EVPN；</w:t>
            </w:r>
          </w:p>
        </w:tc>
      </w:tr>
      <w:tr w14:paraId="0C55C25D">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28AF54F3">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695AC771">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5AA219BC">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无损网络特性</w:t>
            </w:r>
          </w:p>
        </w:tc>
        <w:tc>
          <w:tcPr>
            <w:tcW w:w="5160" w:type="dxa"/>
            <w:tcBorders>
              <w:top w:val="nil"/>
              <w:left w:val="nil"/>
              <w:bottom w:val="single" w:color="auto" w:sz="4" w:space="0"/>
              <w:right w:val="single" w:color="auto" w:sz="4" w:space="0"/>
            </w:tcBorders>
            <w:shd w:val="clear" w:color="auto" w:fill="auto"/>
            <w:vAlign w:val="center"/>
          </w:tcPr>
          <w:p w14:paraId="17C2196A">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支持无损网络RoCE</w:t>
            </w:r>
          </w:p>
        </w:tc>
      </w:tr>
      <w:tr w14:paraId="2225DB1D">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510E2EDE">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2828E69F">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442431C9">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堆叠</w:t>
            </w:r>
          </w:p>
        </w:tc>
        <w:tc>
          <w:tcPr>
            <w:tcW w:w="5160" w:type="dxa"/>
            <w:tcBorders>
              <w:top w:val="nil"/>
              <w:left w:val="nil"/>
              <w:bottom w:val="single" w:color="auto" w:sz="4" w:space="0"/>
              <w:right w:val="single" w:color="auto" w:sz="4" w:space="0"/>
            </w:tcBorders>
            <w:shd w:val="clear" w:color="auto" w:fill="auto"/>
            <w:vAlign w:val="center"/>
          </w:tcPr>
          <w:p w14:paraId="3B96C58F">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每台设备配置5米万兆40G堆叠线缆1条并包含模块</w:t>
            </w:r>
          </w:p>
        </w:tc>
      </w:tr>
      <w:tr w14:paraId="2D481A1D">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2153AB0C">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21D5B817">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1F03FDD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维保要求</w:t>
            </w:r>
          </w:p>
        </w:tc>
        <w:tc>
          <w:tcPr>
            <w:tcW w:w="5160" w:type="dxa"/>
            <w:tcBorders>
              <w:top w:val="nil"/>
              <w:left w:val="nil"/>
              <w:bottom w:val="single" w:color="auto" w:sz="4" w:space="0"/>
              <w:right w:val="single" w:color="auto" w:sz="4" w:space="0"/>
            </w:tcBorders>
            <w:shd w:val="clear" w:color="auto" w:fill="auto"/>
            <w:vAlign w:val="center"/>
          </w:tcPr>
          <w:p w14:paraId="772DA60C">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所有设备包含5年原厂维保服务</w:t>
            </w:r>
          </w:p>
        </w:tc>
      </w:tr>
      <w:tr w14:paraId="2EB99240">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421E98D6">
            <w:pPr>
              <w:widowControl/>
              <w:jc w:val="left"/>
              <w:rPr>
                <w:rFonts w:hint="eastAsia" w:ascii="宋体" w:hAnsi="宋体" w:cs="宋体"/>
                <w:color w:val="000000"/>
                <w:kern w:val="0"/>
                <w:sz w:val="21"/>
                <w:szCs w:val="21"/>
              </w:rPr>
            </w:pPr>
          </w:p>
        </w:tc>
        <w:tc>
          <w:tcPr>
            <w:tcW w:w="1040" w:type="dxa"/>
            <w:vMerge w:val="restart"/>
            <w:tcBorders>
              <w:top w:val="nil"/>
              <w:left w:val="single" w:color="auto" w:sz="4" w:space="0"/>
              <w:bottom w:val="single" w:color="auto" w:sz="4" w:space="0"/>
              <w:right w:val="single" w:color="auto" w:sz="4" w:space="0"/>
            </w:tcBorders>
            <w:shd w:val="clear" w:color="auto" w:fill="auto"/>
            <w:vAlign w:val="center"/>
          </w:tcPr>
          <w:p w14:paraId="2ADA1C77">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功能要求</w:t>
            </w:r>
          </w:p>
        </w:tc>
        <w:tc>
          <w:tcPr>
            <w:tcW w:w="1400" w:type="dxa"/>
            <w:tcBorders>
              <w:top w:val="nil"/>
              <w:left w:val="nil"/>
              <w:bottom w:val="single" w:color="auto" w:sz="4" w:space="0"/>
              <w:right w:val="single" w:color="auto" w:sz="4" w:space="0"/>
            </w:tcBorders>
            <w:shd w:val="clear" w:color="auto" w:fill="auto"/>
            <w:vAlign w:val="center"/>
          </w:tcPr>
          <w:p w14:paraId="0C82C917">
            <w:pPr>
              <w:widowControl/>
              <w:jc w:val="left"/>
              <w:rPr>
                <w:rFonts w:hint="eastAsia" w:ascii="宋体" w:hAnsi="宋体" w:cs="宋体"/>
                <w:kern w:val="0"/>
                <w:sz w:val="21"/>
                <w:szCs w:val="21"/>
              </w:rPr>
            </w:pPr>
            <w:r>
              <w:rPr>
                <w:rFonts w:hint="eastAsia" w:ascii="宋体" w:hAnsi="宋体" w:cs="宋体"/>
                <w:kern w:val="0"/>
                <w:sz w:val="21"/>
                <w:szCs w:val="21"/>
              </w:rPr>
              <w:t>组播特性</w:t>
            </w:r>
          </w:p>
        </w:tc>
        <w:tc>
          <w:tcPr>
            <w:tcW w:w="5160" w:type="dxa"/>
            <w:tcBorders>
              <w:top w:val="nil"/>
              <w:left w:val="nil"/>
              <w:bottom w:val="single" w:color="auto" w:sz="4" w:space="0"/>
              <w:right w:val="single" w:color="auto" w:sz="4" w:space="0"/>
            </w:tcBorders>
            <w:shd w:val="clear" w:color="auto" w:fill="auto"/>
            <w:vAlign w:val="center"/>
          </w:tcPr>
          <w:p w14:paraId="10693241">
            <w:pPr>
              <w:widowControl/>
              <w:jc w:val="left"/>
              <w:rPr>
                <w:rFonts w:hint="eastAsia" w:ascii="宋体" w:hAnsi="宋体" w:cs="宋体"/>
                <w:kern w:val="0"/>
                <w:sz w:val="21"/>
                <w:szCs w:val="21"/>
              </w:rPr>
            </w:pPr>
            <w:r>
              <w:rPr>
                <w:rFonts w:hint="eastAsia" w:ascii="宋体" w:hAnsi="宋体" w:cs="宋体"/>
                <w:kern w:val="0"/>
                <w:sz w:val="21"/>
                <w:szCs w:val="21"/>
              </w:rPr>
              <w:t>支持PIM、PIM-SM、PIM-SSM、IGMPv2、IGMPv3等</w:t>
            </w:r>
          </w:p>
        </w:tc>
      </w:tr>
      <w:tr w14:paraId="4E949656">
        <w:tblPrEx>
          <w:tblCellMar>
            <w:top w:w="0" w:type="dxa"/>
            <w:left w:w="108" w:type="dxa"/>
            <w:bottom w:w="0" w:type="dxa"/>
            <w:right w:w="108" w:type="dxa"/>
          </w:tblCellMar>
        </w:tblPrEx>
        <w:trPr>
          <w:trHeight w:val="432" w:hRule="atLeast"/>
        </w:trPr>
        <w:tc>
          <w:tcPr>
            <w:tcW w:w="820" w:type="dxa"/>
            <w:vMerge w:val="continue"/>
            <w:tcBorders>
              <w:top w:val="nil"/>
              <w:left w:val="single" w:color="auto" w:sz="4" w:space="0"/>
              <w:bottom w:val="single" w:color="auto" w:sz="4" w:space="0"/>
              <w:right w:val="single" w:color="auto" w:sz="4" w:space="0"/>
            </w:tcBorders>
            <w:vAlign w:val="center"/>
          </w:tcPr>
          <w:p w14:paraId="202C624A">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61C37DD5">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23BF4320">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二层功能</w:t>
            </w:r>
          </w:p>
        </w:tc>
        <w:tc>
          <w:tcPr>
            <w:tcW w:w="5160" w:type="dxa"/>
            <w:tcBorders>
              <w:top w:val="nil"/>
              <w:left w:val="nil"/>
              <w:bottom w:val="single" w:color="auto" w:sz="4" w:space="0"/>
              <w:right w:val="single" w:color="auto" w:sz="4" w:space="0"/>
            </w:tcBorders>
            <w:shd w:val="clear" w:color="auto" w:fill="auto"/>
            <w:vAlign w:val="center"/>
          </w:tcPr>
          <w:p w14:paraId="7B7EE7E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支持M-LAG或vPC或DRNI等跨机箱链路捆绑技术（提供第三方检测证明报告或官网彩页或官网截图）；</w:t>
            </w:r>
          </w:p>
        </w:tc>
      </w:tr>
      <w:tr w14:paraId="29F7B58C">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35584B44">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174C4A5F">
            <w:pPr>
              <w:widowControl/>
              <w:jc w:val="left"/>
              <w:rPr>
                <w:rFonts w:hint="eastAsia" w:ascii="宋体" w:hAnsi="宋体" w:cs="宋体"/>
                <w:color w:val="000000"/>
                <w:kern w:val="0"/>
                <w:sz w:val="21"/>
                <w:szCs w:val="21"/>
              </w:rPr>
            </w:pPr>
          </w:p>
        </w:tc>
        <w:tc>
          <w:tcPr>
            <w:tcW w:w="1400" w:type="dxa"/>
            <w:vMerge w:val="restart"/>
            <w:tcBorders>
              <w:top w:val="nil"/>
              <w:left w:val="single" w:color="auto" w:sz="4" w:space="0"/>
              <w:bottom w:val="single" w:color="auto" w:sz="4" w:space="0"/>
              <w:right w:val="single" w:color="auto" w:sz="4" w:space="0"/>
            </w:tcBorders>
            <w:shd w:val="clear" w:color="auto" w:fill="auto"/>
            <w:vAlign w:val="center"/>
          </w:tcPr>
          <w:p w14:paraId="64CDC9B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三层功能</w:t>
            </w:r>
          </w:p>
        </w:tc>
        <w:tc>
          <w:tcPr>
            <w:tcW w:w="5160" w:type="dxa"/>
            <w:tcBorders>
              <w:top w:val="nil"/>
              <w:left w:val="nil"/>
              <w:bottom w:val="single" w:color="auto" w:sz="4" w:space="0"/>
              <w:right w:val="single" w:color="auto" w:sz="4" w:space="0"/>
            </w:tcBorders>
            <w:shd w:val="clear" w:color="auto" w:fill="auto"/>
            <w:vAlign w:val="center"/>
          </w:tcPr>
          <w:p w14:paraId="45C176CF">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支持RIP、OSPF、ISIS、BGP等IPv4动态路由协议；</w:t>
            </w:r>
          </w:p>
        </w:tc>
      </w:tr>
      <w:tr w14:paraId="65632C9E">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1EFC873D">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58DCFEA8">
            <w:pPr>
              <w:widowControl/>
              <w:jc w:val="left"/>
              <w:rPr>
                <w:rFonts w:hint="eastAsia" w:ascii="宋体" w:hAnsi="宋体" w:cs="宋体"/>
                <w:color w:val="000000"/>
                <w:kern w:val="0"/>
                <w:sz w:val="21"/>
                <w:szCs w:val="21"/>
              </w:rPr>
            </w:pPr>
          </w:p>
        </w:tc>
        <w:tc>
          <w:tcPr>
            <w:tcW w:w="1400" w:type="dxa"/>
            <w:vMerge w:val="continue"/>
            <w:tcBorders>
              <w:top w:val="nil"/>
              <w:left w:val="single" w:color="auto" w:sz="4" w:space="0"/>
              <w:bottom w:val="single" w:color="auto" w:sz="4" w:space="0"/>
              <w:right w:val="single" w:color="auto" w:sz="4" w:space="0"/>
            </w:tcBorders>
            <w:vAlign w:val="center"/>
          </w:tcPr>
          <w:p w14:paraId="31226885">
            <w:pPr>
              <w:widowControl/>
              <w:jc w:val="left"/>
              <w:rPr>
                <w:rFonts w:hint="eastAsia"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14:paraId="101088F7">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支持BFD for OSPF，BGP，IS-IS，Static Route；</w:t>
            </w:r>
          </w:p>
        </w:tc>
      </w:tr>
      <w:tr w14:paraId="4F918D53">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28B38EC7">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0B7938EB">
            <w:pPr>
              <w:widowControl/>
              <w:jc w:val="left"/>
              <w:rPr>
                <w:rFonts w:hint="eastAsia" w:ascii="宋体" w:hAnsi="宋体" w:cs="宋体"/>
                <w:color w:val="000000"/>
                <w:kern w:val="0"/>
                <w:sz w:val="21"/>
                <w:szCs w:val="21"/>
              </w:rPr>
            </w:pPr>
          </w:p>
        </w:tc>
        <w:tc>
          <w:tcPr>
            <w:tcW w:w="1400" w:type="dxa"/>
            <w:vMerge w:val="continue"/>
            <w:tcBorders>
              <w:top w:val="nil"/>
              <w:left w:val="single" w:color="auto" w:sz="4" w:space="0"/>
              <w:bottom w:val="single" w:color="auto" w:sz="4" w:space="0"/>
              <w:right w:val="single" w:color="auto" w:sz="4" w:space="0"/>
            </w:tcBorders>
            <w:vAlign w:val="center"/>
          </w:tcPr>
          <w:p w14:paraId="448953EE">
            <w:pPr>
              <w:widowControl/>
              <w:jc w:val="left"/>
              <w:rPr>
                <w:rFonts w:hint="eastAsia"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14:paraId="6365B304">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支持IPv6 ND、PMTU发现；</w:t>
            </w:r>
          </w:p>
        </w:tc>
      </w:tr>
      <w:tr w14:paraId="5C49A2AC">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1DE78012">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552900FD">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2117CA9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QoS</w:t>
            </w:r>
          </w:p>
        </w:tc>
        <w:tc>
          <w:tcPr>
            <w:tcW w:w="5160" w:type="dxa"/>
            <w:tcBorders>
              <w:top w:val="nil"/>
              <w:left w:val="nil"/>
              <w:bottom w:val="single" w:color="auto" w:sz="4" w:space="0"/>
              <w:right w:val="single" w:color="auto" w:sz="4" w:space="0"/>
            </w:tcBorders>
            <w:shd w:val="clear" w:color="auto" w:fill="auto"/>
            <w:vAlign w:val="center"/>
          </w:tcPr>
          <w:p w14:paraId="28C302A8">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 PQ、DRR、PQ+DRR 等队列调度方式；</w:t>
            </w:r>
          </w:p>
        </w:tc>
      </w:tr>
      <w:tr w14:paraId="34DDF429">
        <w:tblPrEx>
          <w:tblCellMar>
            <w:top w:w="0" w:type="dxa"/>
            <w:left w:w="108" w:type="dxa"/>
            <w:bottom w:w="0" w:type="dxa"/>
            <w:right w:w="108" w:type="dxa"/>
          </w:tblCellMar>
        </w:tblPrEx>
        <w:trPr>
          <w:trHeight w:val="648" w:hRule="atLeast"/>
        </w:trPr>
        <w:tc>
          <w:tcPr>
            <w:tcW w:w="820" w:type="dxa"/>
            <w:vMerge w:val="continue"/>
            <w:tcBorders>
              <w:top w:val="nil"/>
              <w:left w:val="single" w:color="auto" w:sz="4" w:space="0"/>
              <w:bottom w:val="single" w:color="auto" w:sz="4" w:space="0"/>
              <w:right w:val="single" w:color="auto" w:sz="4" w:space="0"/>
            </w:tcBorders>
            <w:vAlign w:val="center"/>
          </w:tcPr>
          <w:p w14:paraId="0FF290CE">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67A9ED06">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7CF6F63D">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SDN</w:t>
            </w:r>
          </w:p>
        </w:tc>
        <w:tc>
          <w:tcPr>
            <w:tcW w:w="5160" w:type="dxa"/>
            <w:tcBorders>
              <w:top w:val="nil"/>
              <w:left w:val="nil"/>
              <w:bottom w:val="single" w:color="auto" w:sz="4" w:space="0"/>
              <w:right w:val="single" w:color="auto" w:sz="4" w:space="0"/>
            </w:tcBorders>
            <w:shd w:val="clear" w:color="auto" w:fill="auto"/>
            <w:vAlign w:val="center"/>
          </w:tcPr>
          <w:p w14:paraId="2951740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支持Telemetry流量可视化，支持Vxlan协议，且支持BGP EVPN协议，支持VXLAN over IPv4/6,支持OPENFLOW+NET-CONF的集中控制平面</w:t>
            </w:r>
          </w:p>
        </w:tc>
      </w:tr>
      <w:tr w14:paraId="7089F5D3">
        <w:tblPrEx>
          <w:tblCellMar>
            <w:top w:w="0" w:type="dxa"/>
            <w:left w:w="108" w:type="dxa"/>
            <w:bottom w:w="0" w:type="dxa"/>
            <w:right w:w="108" w:type="dxa"/>
          </w:tblCellMar>
        </w:tblPrEx>
        <w:trPr>
          <w:trHeight w:val="276" w:hRule="atLeast"/>
        </w:trPr>
        <w:tc>
          <w:tcPr>
            <w:tcW w:w="820" w:type="dxa"/>
            <w:vMerge w:val="continue"/>
            <w:tcBorders>
              <w:top w:val="nil"/>
              <w:left w:val="single" w:color="auto" w:sz="4" w:space="0"/>
              <w:bottom w:val="single" w:color="auto" w:sz="4" w:space="0"/>
              <w:right w:val="single" w:color="auto" w:sz="4" w:space="0"/>
            </w:tcBorders>
            <w:vAlign w:val="center"/>
          </w:tcPr>
          <w:p w14:paraId="41EC8FC7">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2B5498B1">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6772782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SNMP</w:t>
            </w:r>
          </w:p>
        </w:tc>
        <w:tc>
          <w:tcPr>
            <w:tcW w:w="5160" w:type="dxa"/>
            <w:tcBorders>
              <w:top w:val="nil"/>
              <w:left w:val="nil"/>
              <w:bottom w:val="single" w:color="auto" w:sz="4" w:space="0"/>
              <w:right w:val="single" w:color="auto" w:sz="4" w:space="0"/>
            </w:tcBorders>
            <w:shd w:val="clear" w:color="auto" w:fill="auto"/>
            <w:vAlign w:val="center"/>
          </w:tcPr>
          <w:p w14:paraId="2D7805F9">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支持SNMP V1/V2/V3、Telnet、RMON、SSH；</w:t>
            </w:r>
          </w:p>
        </w:tc>
      </w:tr>
      <w:tr w14:paraId="47B7104A">
        <w:tblPrEx>
          <w:tblCellMar>
            <w:top w:w="0" w:type="dxa"/>
            <w:left w:w="108" w:type="dxa"/>
            <w:bottom w:w="0" w:type="dxa"/>
            <w:right w:w="108" w:type="dxa"/>
          </w:tblCellMar>
        </w:tblPrEx>
        <w:trPr>
          <w:trHeight w:val="432" w:hRule="atLeast"/>
        </w:trPr>
        <w:tc>
          <w:tcPr>
            <w:tcW w:w="820" w:type="dxa"/>
            <w:vMerge w:val="continue"/>
            <w:tcBorders>
              <w:top w:val="nil"/>
              <w:left w:val="single" w:color="auto" w:sz="4" w:space="0"/>
              <w:bottom w:val="single" w:color="auto" w:sz="4" w:space="0"/>
              <w:right w:val="single" w:color="auto" w:sz="4" w:space="0"/>
            </w:tcBorders>
            <w:vAlign w:val="center"/>
          </w:tcPr>
          <w:p w14:paraId="77A88DB8">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1851C59B">
            <w:pPr>
              <w:widowControl/>
              <w:jc w:val="left"/>
              <w:rPr>
                <w:rFonts w:hint="eastAsia"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14:paraId="1416853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可靠性</w:t>
            </w:r>
          </w:p>
        </w:tc>
        <w:tc>
          <w:tcPr>
            <w:tcW w:w="5160" w:type="dxa"/>
            <w:tcBorders>
              <w:top w:val="nil"/>
              <w:left w:val="nil"/>
              <w:bottom w:val="single" w:color="auto" w:sz="4" w:space="0"/>
              <w:right w:val="single" w:color="auto" w:sz="4" w:space="0"/>
            </w:tcBorders>
            <w:shd w:val="clear" w:color="auto" w:fill="auto"/>
            <w:vAlign w:val="center"/>
          </w:tcPr>
          <w:p w14:paraId="3F01EB9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支持BFD（Bidirectional Forwarding Detection）3.3ms检测间隔（提供第三方检测证明报告或官网彩页或官网截图）；</w:t>
            </w:r>
          </w:p>
        </w:tc>
      </w:tr>
      <w:tr w14:paraId="3DACB249">
        <w:tblPrEx>
          <w:tblCellMar>
            <w:top w:w="0" w:type="dxa"/>
            <w:left w:w="108" w:type="dxa"/>
            <w:bottom w:w="0" w:type="dxa"/>
            <w:right w:w="108" w:type="dxa"/>
          </w:tblCellMar>
        </w:tblPrEx>
        <w:trPr>
          <w:trHeight w:val="432" w:hRule="atLeast"/>
        </w:trPr>
        <w:tc>
          <w:tcPr>
            <w:tcW w:w="820" w:type="dxa"/>
            <w:vMerge w:val="continue"/>
            <w:tcBorders>
              <w:top w:val="nil"/>
              <w:left w:val="single" w:color="auto" w:sz="4" w:space="0"/>
              <w:bottom w:val="single" w:color="auto" w:sz="4" w:space="0"/>
              <w:right w:val="single" w:color="auto" w:sz="4" w:space="0"/>
            </w:tcBorders>
            <w:vAlign w:val="center"/>
          </w:tcPr>
          <w:p w14:paraId="54F8AEF6">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635D0987">
            <w:pPr>
              <w:widowControl/>
              <w:jc w:val="left"/>
              <w:rPr>
                <w:rFonts w:hint="eastAsia" w:ascii="宋体" w:hAnsi="宋体" w:cs="宋体"/>
                <w:color w:val="000000"/>
                <w:kern w:val="0"/>
                <w:sz w:val="21"/>
                <w:szCs w:val="21"/>
              </w:rPr>
            </w:pPr>
          </w:p>
        </w:tc>
        <w:tc>
          <w:tcPr>
            <w:tcW w:w="1400" w:type="dxa"/>
            <w:vMerge w:val="restart"/>
            <w:tcBorders>
              <w:top w:val="nil"/>
              <w:left w:val="single" w:color="auto" w:sz="4" w:space="0"/>
              <w:bottom w:val="single" w:color="auto" w:sz="4" w:space="0"/>
              <w:right w:val="single" w:color="auto" w:sz="4" w:space="0"/>
            </w:tcBorders>
            <w:shd w:val="clear" w:color="auto" w:fill="auto"/>
            <w:vAlign w:val="center"/>
          </w:tcPr>
          <w:p w14:paraId="03436B0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流量分析</w:t>
            </w:r>
          </w:p>
        </w:tc>
        <w:tc>
          <w:tcPr>
            <w:tcW w:w="5160" w:type="dxa"/>
            <w:tcBorders>
              <w:top w:val="nil"/>
              <w:left w:val="nil"/>
              <w:bottom w:val="single" w:color="auto" w:sz="4" w:space="0"/>
              <w:right w:val="single" w:color="auto" w:sz="4" w:space="0"/>
            </w:tcBorders>
            <w:shd w:val="clear" w:color="auto" w:fill="auto"/>
            <w:vAlign w:val="center"/>
          </w:tcPr>
          <w:p w14:paraId="4C6E4728">
            <w:pPr>
              <w:widowControl/>
              <w:jc w:val="left"/>
              <w:rPr>
                <w:rFonts w:hint="eastAsia" w:ascii="宋体" w:hAnsi="宋体" w:cs="宋体"/>
                <w:kern w:val="0"/>
                <w:sz w:val="21"/>
                <w:szCs w:val="21"/>
              </w:rPr>
            </w:pPr>
            <w:r>
              <w:rPr>
                <w:rFonts w:hint="eastAsia" w:ascii="宋体" w:hAnsi="宋体" w:cs="宋体"/>
                <w:kern w:val="0"/>
                <w:sz w:val="21"/>
                <w:szCs w:val="21"/>
              </w:rPr>
              <w:t>支持IPCA或INQA网络包守恒算法，用于统计IP网络的丢包率和时延，提供第三方测试报告；</w:t>
            </w:r>
          </w:p>
        </w:tc>
      </w:tr>
      <w:tr w14:paraId="221B409F">
        <w:tblPrEx>
          <w:tblCellMar>
            <w:top w:w="0" w:type="dxa"/>
            <w:left w:w="108" w:type="dxa"/>
            <w:bottom w:w="0" w:type="dxa"/>
            <w:right w:w="108" w:type="dxa"/>
          </w:tblCellMar>
        </w:tblPrEx>
        <w:trPr>
          <w:trHeight w:val="432" w:hRule="atLeast"/>
        </w:trPr>
        <w:tc>
          <w:tcPr>
            <w:tcW w:w="820" w:type="dxa"/>
            <w:vMerge w:val="continue"/>
            <w:tcBorders>
              <w:top w:val="nil"/>
              <w:left w:val="single" w:color="auto" w:sz="4" w:space="0"/>
              <w:bottom w:val="single" w:color="auto" w:sz="4" w:space="0"/>
              <w:right w:val="single" w:color="auto" w:sz="4" w:space="0"/>
            </w:tcBorders>
            <w:vAlign w:val="center"/>
          </w:tcPr>
          <w:p w14:paraId="25406274">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320DBE01">
            <w:pPr>
              <w:widowControl/>
              <w:jc w:val="left"/>
              <w:rPr>
                <w:rFonts w:hint="eastAsia" w:ascii="宋体" w:hAnsi="宋体" w:cs="宋体"/>
                <w:color w:val="000000"/>
                <w:kern w:val="0"/>
                <w:sz w:val="21"/>
                <w:szCs w:val="21"/>
              </w:rPr>
            </w:pPr>
          </w:p>
        </w:tc>
        <w:tc>
          <w:tcPr>
            <w:tcW w:w="1400" w:type="dxa"/>
            <w:vMerge w:val="continue"/>
            <w:tcBorders>
              <w:top w:val="nil"/>
              <w:left w:val="single" w:color="auto" w:sz="4" w:space="0"/>
              <w:bottom w:val="single" w:color="auto" w:sz="4" w:space="0"/>
              <w:right w:val="single" w:color="auto" w:sz="4" w:space="0"/>
            </w:tcBorders>
            <w:vAlign w:val="center"/>
          </w:tcPr>
          <w:p w14:paraId="543EF93D">
            <w:pPr>
              <w:widowControl/>
              <w:jc w:val="left"/>
              <w:rPr>
                <w:rFonts w:hint="eastAsia"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14:paraId="0EEC80F0">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支持sFlow或Netstream，能够对端口上的流量进行统计分析（提供第三方检测证明报告或官网彩页或官网截图）；</w:t>
            </w:r>
          </w:p>
        </w:tc>
      </w:tr>
      <w:tr w14:paraId="6A6DDFF9">
        <w:tblPrEx>
          <w:tblCellMar>
            <w:top w:w="0" w:type="dxa"/>
            <w:left w:w="108" w:type="dxa"/>
            <w:bottom w:w="0" w:type="dxa"/>
            <w:right w:w="108" w:type="dxa"/>
          </w:tblCellMar>
        </w:tblPrEx>
        <w:trPr>
          <w:trHeight w:val="432" w:hRule="atLeast"/>
        </w:trPr>
        <w:tc>
          <w:tcPr>
            <w:tcW w:w="820" w:type="dxa"/>
            <w:vMerge w:val="continue"/>
            <w:tcBorders>
              <w:top w:val="nil"/>
              <w:left w:val="single" w:color="auto" w:sz="4" w:space="0"/>
              <w:bottom w:val="single" w:color="auto" w:sz="4" w:space="0"/>
              <w:right w:val="single" w:color="auto" w:sz="4" w:space="0"/>
            </w:tcBorders>
            <w:vAlign w:val="center"/>
          </w:tcPr>
          <w:p w14:paraId="0A8AC78A">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0915C052">
            <w:pPr>
              <w:widowControl/>
              <w:jc w:val="left"/>
              <w:rPr>
                <w:rFonts w:hint="eastAsia" w:ascii="宋体" w:hAnsi="宋体" w:cs="宋体"/>
                <w:color w:val="000000"/>
                <w:kern w:val="0"/>
                <w:sz w:val="21"/>
                <w:szCs w:val="21"/>
              </w:rPr>
            </w:pPr>
          </w:p>
        </w:tc>
        <w:tc>
          <w:tcPr>
            <w:tcW w:w="1400" w:type="dxa"/>
            <w:vMerge w:val="restart"/>
            <w:tcBorders>
              <w:top w:val="nil"/>
              <w:left w:val="single" w:color="auto" w:sz="4" w:space="0"/>
              <w:bottom w:val="single" w:color="auto" w:sz="4" w:space="0"/>
              <w:right w:val="single" w:color="auto" w:sz="4" w:space="0"/>
            </w:tcBorders>
            <w:shd w:val="clear" w:color="auto" w:fill="auto"/>
            <w:vAlign w:val="center"/>
          </w:tcPr>
          <w:p w14:paraId="227FAC5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配置和维护</w:t>
            </w:r>
          </w:p>
        </w:tc>
        <w:tc>
          <w:tcPr>
            <w:tcW w:w="5160" w:type="dxa"/>
            <w:tcBorders>
              <w:top w:val="nil"/>
              <w:left w:val="nil"/>
              <w:bottom w:val="single" w:color="auto" w:sz="4" w:space="0"/>
              <w:right w:val="single" w:color="auto" w:sz="4" w:space="0"/>
            </w:tcBorders>
            <w:shd w:val="clear" w:color="auto" w:fill="auto"/>
            <w:vAlign w:val="center"/>
          </w:tcPr>
          <w:p w14:paraId="1703089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支持缓存的微突发状态统计（提供第三方检测证明报告或官网彩页或官网截图）；</w:t>
            </w:r>
          </w:p>
        </w:tc>
      </w:tr>
      <w:tr w14:paraId="5BFC15BB">
        <w:tblPrEx>
          <w:tblCellMar>
            <w:top w:w="0" w:type="dxa"/>
            <w:left w:w="108" w:type="dxa"/>
            <w:bottom w:w="0" w:type="dxa"/>
            <w:right w:w="108" w:type="dxa"/>
          </w:tblCellMar>
        </w:tblPrEx>
        <w:trPr>
          <w:trHeight w:val="432" w:hRule="atLeast"/>
        </w:trPr>
        <w:tc>
          <w:tcPr>
            <w:tcW w:w="820" w:type="dxa"/>
            <w:vMerge w:val="continue"/>
            <w:tcBorders>
              <w:top w:val="nil"/>
              <w:left w:val="single" w:color="auto" w:sz="4" w:space="0"/>
              <w:bottom w:val="single" w:color="auto" w:sz="4" w:space="0"/>
              <w:right w:val="single" w:color="auto" w:sz="4" w:space="0"/>
            </w:tcBorders>
            <w:vAlign w:val="center"/>
          </w:tcPr>
          <w:p w14:paraId="1436401B">
            <w:pPr>
              <w:widowControl/>
              <w:jc w:val="left"/>
              <w:rPr>
                <w:rFonts w:hint="eastAsia" w:ascii="宋体" w:hAnsi="宋体" w:cs="宋体"/>
                <w:color w:val="000000"/>
                <w:kern w:val="0"/>
                <w:sz w:val="21"/>
                <w:szCs w:val="21"/>
              </w:rPr>
            </w:pPr>
          </w:p>
        </w:tc>
        <w:tc>
          <w:tcPr>
            <w:tcW w:w="1040" w:type="dxa"/>
            <w:vMerge w:val="continue"/>
            <w:tcBorders>
              <w:top w:val="nil"/>
              <w:left w:val="single" w:color="auto" w:sz="4" w:space="0"/>
              <w:bottom w:val="single" w:color="auto" w:sz="4" w:space="0"/>
              <w:right w:val="single" w:color="auto" w:sz="4" w:space="0"/>
            </w:tcBorders>
            <w:vAlign w:val="center"/>
          </w:tcPr>
          <w:p w14:paraId="00460DD3">
            <w:pPr>
              <w:widowControl/>
              <w:jc w:val="left"/>
              <w:rPr>
                <w:rFonts w:hint="eastAsia" w:ascii="宋体" w:hAnsi="宋体" w:cs="宋体"/>
                <w:color w:val="000000"/>
                <w:kern w:val="0"/>
                <w:sz w:val="21"/>
                <w:szCs w:val="21"/>
              </w:rPr>
            </w:pPr>
          </w:p>
        </w:tc>
        <w:tc>
          <w:tcPr>
            <w:tcW w:w="1400" w:type="dxa"/>
            <w:vMerge w:val="continue"/>
            <w:tcBorders>
              <w:top w:val="nil"/>
              <w:left w:val="single" w:color="auto" w:sz="4" w:space="0"/>
              <w:bottom w:val="single" w:color="auto" w:sz="4" w:space="0"/>
              <w:right w:val="single" w:color="auto" w:sz="4" w:space="0"/>
            </w:tcBorders>
            <w:vAlign w:val="center"/>
          </w:tcPr>
          <w:p w14:paraId="1A8D0C1B">
            <w:pPr>
              <w:widowControl/>
              <w:jc w:val="left"/>
              <w:rPr>
                <w:rFonts w:hint="eastAsia" w:ascii="宋体" w:hAnsi="宋体" w:cs="宋体"/>
                <w:color w:val="000000"/>
                <w:kern w:val="0"/>
                <w:sz w:val="21"/>
                <w:szCs w:val="21"/>
              </w:rPr>
            </w:pPr>
          </w:p>
        </w:tc>
        <w:tc>
          <w:tcPr>
            <w:tcW w:w="5160" w:type="dxa"/>
            <w:tcBorders>
              <w:top w:val="nil"/>
              <w:left w:val="nil"/>
              <w:bottom w:val="single" w:color="auto" w:sz="4" w:space="0"/>
              <w:right w:val="single" w:color="auto" w:sz="4" w:space="0"/>
            </w:tcBorders>
            <w:shd w:val="clear" w:color="auto" w:fill="auto"/>
            <w:vAlign w:val="center"/>
          </w:tcPr>
          <w:p w14:paraId="301620F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支持VxLAN OAM: VxLAN ping, VxLAN tracert，（提供第三方检测证明报告或官网彩页或官网截图）；</w:t>
            </w:r>
          </w:p>
        </w:tc>
      </w:tr>
    </w:tbl>
    <w:p w14:paraId="70DA7D19">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3.4.8万兆防火墙(互联网区内墙)共4台</w:t>
      </w:r>
    </w:p>
    <w:tbl>
      <w:tblPr>
        <w:tblStyle w:val="19"/>
        <w:tblW w:w="81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780"/>
        <w:gridCol w:w="1400"/>
        <w:gridCol w:w="5160"/>
      </w:tblGrid>
      <w:tr w14:paraId="4284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20" w:type="dxa"/>
            <w:shd w:val="clear" w:color="auto" w:fill="auto"/>
            <w:vAlign w:val="bottom"/>
          </w:tcPr>
          <w:p w14:paraId="08FE23F1">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项目名称</w:t>
            </w:r>
          </w:p>
        </w:tc>
        <w:tc>
          <w:tcPr>
            <w:tcW w:w="780" w:type="dxa"/>
            <w:shd w:val="clear" w:color="auto" w:fill="auto"/>
            <w:vAlign w:val="center"/>
          </w:tcPr>
          <w:p w14:paraId="18B591C5">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类别</w:t>
            </w:r>
          </w:p>
        </w:tc>
        <w:tc>
          <w:tcPr>
            <w:tcW w:w="1400" w:type="dxa"/>
            <w:shd w:val="clear" w:color="auto" w:fill="auto"/>
            <w:vAlign w:val="center"/>
          </w:tcPr>
          <w:p w14:paraId="08A5F568">
            <w:pPr>
              <w:widowControl/>
              <w:jc w:val="center"/>
              <w:rPr>
                <w:rFonts w:hint="eastAsia" w:ascii="宋体" w:hAnsi="宋体" w:cs="宋体"/>
                <w:b/>
                <w:bCs/>
                <w:kern w:val="0"/>
                <w:sz w:val="21"/>
                <w:szCs w:val="21"/>
              </w:rPr>
            </w:pPr>
            <w:r>
              <w:rPr>
                <w:rFonts w:hint="eastAsia" w:ascii="宋体" w:hAnsi="宋体" w:cs="宋体"/>
                <w:b/>
                <w:bCs/>
                <w:kern w:val="0"/>
                <w:sz w:val="21"/>
                <w:szCs w:val="21"/>
              </w:rPr>
              <w:t>要求项</w:t>
            </w:r>
          </w:p>
        </w:tc>
        <w:tc>
          <w:tcPr>
            <w:tcW w:w="5160" w:type="dxa"/>
            <w:shd w:val="clear" w:color="auto" w:fill="auto"/>
            <w:vAlign w:val="center"/>
          </w:tcPr>
          <w:p w14:paraId="61C44B28">
            <w:pPr>
              <w:widowControl/>
              <w:jc w:val="center"/>
              <w:rPr>
                <w:rFonts w:hint="eastAsia" w:ascii="宋体" w:hAnsi="宋体" w:cs="宋体"/>
                <w:b/>
                <w:bCs/>
                <w:kern w:val="0"/>
                <w:sz w:val="21"/>
                <w:szCs w:val="21"/>
              </w:rPr>
            </w:pPr>
            <w:r>
              <w:rPr>
                <w:rFonts w:hint="eastAsia" w:ascii="宋体" w:hAnsi="宋体" w:cs="宋体"/>
                <w:b/>
                <w:bCs/>
                <w:kern w:val="0"/>
                <w:sz w:val="21"/>
                <w:szCs w:val="21"/>
              </w:rPr>
              <w:t>要求明细</w:t>
            </w:r>
          </w:p>
        </w:tc>
      </w:tr>
      <w:tr w14:paraId="2596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60508B61">
            <w:pPr>
              <w:widowControl/>
              <w:jc w:val="center"/>
              <w:rPr>
                <w:rFonts w:hint="eastAsia" w:ascii="宋体" w:hAnsi="宋体" w:cs="宋体"/>
                <w:kern w:val="0"/>
                <w:sz w:val="21"/>
                <w:szCs w:val="21"/>
              </w:rPr>
            </w:pPr>
            <w:r>
              <w:rPr>
                <w:rFonts w:hint="eastAsia" w:ascii="宋体" w:hAnsi="宋体" w:cs="宋体"/>
                <w:kern w:val="0"/>
                <w:sz w:val="21"/>
                <w:szCs w:val="21"/>
              </w:rPr>
              <w:t>IDC网络设备升级项目三期</w:t>
            </w:r>
          </w:p>
        </w:tc>
        <w:tc>
          <w:tcPr>
            <w:tcW w:w="780" w:type="dxa"/>
            <w:vMerge w:val="restart"/>
            <w:shd w:val="clear" w:color="auto" w:fill="auto"/>
            <w:vAlign w:val="center"/>
          </w:tcPr>
          <w:p w14:paraId="0D000153">
            <w:pPr>
              <w:widowControl/>
              <w:jc w:val="center"/>
              <w:rPr>
                <w:rFonts w:hint="eastAsia" w:ascii="宋体" w:hAnsi="宋体" w:cs="宋体"/>
                <w:kern w:val="0"/>
                <w:sz w:val="21"/>
                <w:szCs w:val="21"/>
              </w:rPr>
            </w:pPr>
            <w:r>
              <w:rPr>
                <w:rFonts w:hint="eastAsia" w:ascii="宋体" w:hAnsi="宋体" w:cs="宋体"/>
                <w:kern w:val="0"/>
                <w:sz w:val="21"/>
                <w:szCs w:val="21"/>
              </w:rPr>
              <w:t>★基础要求</w:t>
            </w:r>
          </w:p>
        </w:tc>
        <w:tc>
          <w:tcPr>
            <w:tcW w:w="1400" w:type="dxa"/>
            <w:shd w:val="clear" w:color="auto" w:fill="auto"/>
            <w:vAlign w:val="center"/>
          </w:tcPr>
          <w:p w14:paraId="543F9502">
            <w:pPr>
              <w:widowControl/>
              <w:jc w:val="left"/>
              <w:rPr>
                <w:rFonts w:hint="eastAsia" w:ascii="宋体" w:hAnsi="宋体" w:cs="宋体"/>
                <w:kern w:val="0"/>
                <w:sz w:val="21"/>
                <w:szCs w:val="21"/>
              </w:rPr>
            </w:pPr>
            <w:r>
              <w:rPr>
                <w:rFonts w:hint="eastAsia" w:ascii="宋体" w:hAnsi="宋体" w:cs="宋体"/>
                <w:kern w:val="0"/>
                <w:sz w:val="21"/>
                <w:szCs w:val="21"/>
              </w:rPr>
              <w:t>信创要求</w:t>
            </w:r>
          </w:p>
        </w:tc>
        <w:tc>
          <w:tcPr>
            <w:tcW w:w="5160" w:type="dxa"/>
            <w:shd w:val="clear" w:color="000000" w:fill="FFFFFF"/>
            <w:vAlign w:val="bottom"/>
          </w:tcPr>
          <w:p w14:paraId="26444EFC">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3604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9B0BDE6">
            <w:pPr>
              <w:widowControl/>
              <w:jc w:val="left"/>
              <w:rPr>
                <w:rFonts w:hint="eastAsia" w:ascii="宋体" w:hAnsi="宋体" w:cs="宋体"/>
                <w:kern w:val="0"/>
                <w:sz w:val="21"/>
                <w:szCs w:val="21"/>
              </w:rPr>
            </w:pPr>
          </w:p>
        </w:tc>
        <w:tc>
          <w:tcPr>
            <w:tcW w:w="780" w:type="dxa"/>
            <w:vMerge w:val="continue"/>
            <w:vAlign w:val="center"/>
          </w:tcPr>
          <w:p w14:paraId="7C71ED81">
            <w:pPr>
              <w:widowControl/>
              <w:jc w:val="left"/>
              <w:rPr>
                <w:rFonts w:hint="eastAsia" w:ascii="宋体" w:hAnsi="宋体" w:cs="宋体"/>
                <w:kern w:val="0"/>
                <w:sz w:val="21"/>
                <w:szCs w:val="21"/>
              </w:rPr>
            </w:pPr>
          </w:p>
        </w:tc>
        <w:tc>
          <w:tcPr>
            <w:tcW w:w="1400" w:type="dxa"/>
            <w:shd w:val="clear" w:color="auto" w:fill="auto"/>
            <w:vAlign w:val="center"/>
          </w:tcPr>
          <w:p w14:paraId="39B15C9C">
            <w:pPr>
              <w:widowControl/>
              <w:jc w:val="left"/>
              <w:rPr>
                <w:rFonts w:hint="eastAsia" w:ascii="宋体" w:hAnsi="宋体" w:cs="宋体"/>
                <w:kern w:val="0"/>
                <w:sz w:val="21"/>
                <w:szCs w:val="21"/>
              </w:rPr>
            </w:pPr>
            <w:r>
              <w:rPr>
                <w:rFonts w:hint="eastAsia" w:ascii="宋体" w:hAnsi="宋体" w:cs="宋体"/>
                <w:kern w:val="0"/>
                <w:sz w:val="21"/>
                <w:szCs w:val="21"/>
              </w:rPr>
              <w:t>案例要求</w:t>
            </w:r>
          </w:p>
        </w:tc>
        <w:tc>
          <w:tcPr>
            <w:tcW w:w="5160" w:type="dxa"/>
            <w:shd w:val="clear" w:color="auto" w:fill="auto"/>
            <w:vAlign w:val="center"/>
          </w:tcPr>
          <w:p w14:paraId="643A9221">
            <w:pPr>
              <w:widowControl/>
              <w:jc w:val="left"/>
              <w:rPr>
                <w:rFonts w:hint="eastAsia" w:ascii="宋体" w:hAnsi="宋体" w:cs="宋体"/>
                <w:kern w:val="0"/>
                <w:sz w:val="21"/>
                <w:szCs w:val="21"/>
              </w:rPr>
            </w:pPr>
            <w:r>
              <w:rPr>
                <w:rFonts w:hint="eastAsia" w:ascii="宋体" w:hAnsi="宋体" w:cs="宋体"/>
                <w:kern w:val="0"/>
                <w:sz w:val="21"/>
                <w:szCs w:val="21"/>
              </w:rPr>
              <w:t>应标型号要求有在证券行业应用的案例（提供证明材料）</w:t>
            </w:r>
          </w:p>
        </w:tc>
      </w:tr>
      <w:tr w14:paraId="3CDD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74BC7E77">
            <w:pPr>
              <w:widowControl/>
              <w:jc w:val="left"/>
              <w:rPr>
                <w:rFonts w:hint="eastAsia" w:ascii="宋体" w:hAnsi="宋体" w:cs="宋体"/>
                <w:kern w:val="0"/>
                <w:sz w:val="21"/>
                <w:szCs w:val="21"/>
              </w:rPr>
            </w:pPr>
          </w:p>
        </w:tc>
        <w:tc>
          <w:tcPr>
            <w:tcW w:w="780" w:type="dxa"/>
            <w:vMerge w:val="continue"/>
            <w:vAlign w:val="center"/>
          </w:tcPr>
          <w:p w14:paraId="7E4C9D01">
            <w:pPr>
              <w:widowControl/>
              <w:jc w:val="left"/>
              <w:rPr>
                <w:rFonts w:hint="eastAsia" w:ascii="宋体" w:hAnsi="宋体" w:cs="宋体"/>
                <w:kern w:val="0"/>
                <w:sz w:val="21"/>
                <w:szCs w:val="21"/>
              </w:rPr>
            </w:pPr>
          </w:p>
        </w:tc>
        <w:tc>
          <w:tcPr>
            <w:tcW w:w="1400" w:type="dxa"/>
            <w:shd w:val="clear" w:color="auto" w:fill="auto"/>
            <w:vAlign w:val="center"/>
          </w:tcPr>
          <w:p w14:paraId="5C302047">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排名要求</w:t>
            </w:r>
          </w:p>
        </w:tc>
        <w:tc>
          <w:tcPr>
            <w:tcW w:w="5160" w:type="dxa"/>
            <w:shd w:val="clear" w:color="auto" w:fill="auto"/>
            <w:vAlign w:val="center"/>
          </w:tcPr>
          <w:p w14:paraId="3D5339CE">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2024年中国区UTM防火墙市场份额排名前三（提供第三方权威机构给出的IDC报告证明）</w:t>
            </w:r>
          </w:p>
        </w:tc>
      </w:tr>
      <w:tr w14:paraId="74A8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1640F1F6">
            <w:pPr>
              <w:widowControl/>
              <w:jc w:val="left"/>
              <w:rPr>
                <w:rFonts w:hint="eastAsia" w:ascii="宋体" w:hAnsi="宋体" w:cs="宋体"/>
                <w:kern w:val="0"/>
                <w:sz w:val="21"/>
                <w:szCs w:val="21"/>
              </w:rPr>
            </w:pPr>
          </w:p>
        </w:tc>
        <w:tc>
          <w:tcPr>
            <w:tcW w:w="780" w:type="dxa"/>
            <w:vMerge w:val="continue"/>
            <w:vAlign w:val="center"/>
          </w:tcPr>
          <w:p w14:paraId="548F2C01">
            <w:pPr>
              <w:widowControl/>
              <w:jc w:val="left"/>
              <w:rPr>
                <w:rFonts w:hint="eastAsia" w:ascii="宋体" w:hAnsi="宋体" w:cs="宋体"/>
                <w:kern w:val="0"/>
                <w:sz w:val="21"/>
                <w:szCs w:val="21"/>
              </w:rPr>
            </w:pPr>
          </w:p>
        </w:tc>
        <w:tc>
          <w:tcPr>
            <w:tcW w:w="1400" w:type="dxa"/>
            <w:shd w:val="clear" w:color="auto" w:fill="auto"/>
            <w:vAlign w:val="center"/>
          </w:tcPr>
          <w:p w14:paraId="139800B3">
            <w:pPr>
              <w:widowControl/>
              <w:jc w:val="left"/>
              <w:rPr>
                <w:rFonts w:hint="eastAsia" w:ascii="宋体" w:hAnsi="宋体" w:cs="宋体"/>
                <w:kern w:val="0"/>
                <w:sz w:val="21"/>
                <w:szCs w:val="21"/>
              </w:rPr>
            </w:pPr>
            <w:r>
              <w:rPr>
                <w:rFonts w:hint="eastAsia" w:ascii="宋体" w:hAnsi="宋体" w:cs="宋体"/>
                <w:kern w:val="0"/>
                <w:sz w:val="21"/>
                <w:szCs w:val="21"/>
              </w:rPr>
              <w:t>性能参数</w:t>
            </w:r>
          </w:p>
        </w:tc>
        <w:tc>
          <w:tcPr>
            <w:tcW w:w="5160" w:type="dxa"/>
            <w:shd w:val="clear" w:color="auto" w:fill="auto"/>
            <w:vAlign w:val="center"/>
          </w:tcPr>
          <w:p w14:paraId="495FA0CD">
            <w:pPr>
              <w:widowControl/>
              <w:jc w:val="left"/>
              <w:rPr>
                <w:rFonts w:hint="eastAsia" w:ascii="宋体" w:hAnsi="宋体" w:cs="宋体"/>
                <w:kern w:val="0"/>
                <w:sz w:val="21"/>
                <w:szCs w:val="21"/>
              </w:rPr>
            </w:pPr>
            <w:r>
              <w:rPr>
                <w:rFonts w:hint="eastAsia" w:ascii="宋体" w:hAnsi="宋体" w:cs="宋体"/>
                <w:kern w:val="0"/>
                <w:sz w:val="21"/>
                <w:szCs w:val="21"/>
              </w:rPr>
              <w:t>吞吐量≥8Gbps;最大并发连接数≥800万;每秒新建连接数(HTTP)≥15万；</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（提供证明材料，如官网截图或产品彩页截图或第三方报告等）</w:t>
            </w:r>
          </w:p>
        </w:tc>
      </w:tr>
      <w:tr w14:paraId="61E8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9EC94C9">
            <w:pPr>
              <w:widowControl/>
              <w:jc w:val="left"/>
              <w:rPr>
                <w:rFonts w:hint="eastAsia" w:ascii="宋体" w:hAnsi="宋体" w:cs="宋体"/>
                <w:kern w:val="0"/>
                <w:sz w:val="21"/>
                <w:szCs w:val="21"/>
              </w:rPr>
            </w:pPr>
          </w:p>
        </w:tc>
        <w:tc>
          <w:tcPr>
            <w:tcW w:w="780" w:type="dxa"/>
            <w:vMerge w:val="continue"/>
            <w:vAlign w:val="center"/>
          </w:tcPr>
          <w:p w14:paraId="54149B4A">
            <w:pPr>
              <w:widowControl/>
              <w:jc w:val="left"/>
              <w:rPr>
                <w:rFonts w:hint="eastAsia" w:ascii="宋体" w:hAnsi="宋体" w:cs="宋体"/>
                <w:kern w:val="0"/>
                <w:sz w:val="21"/>
                <w:szCs w:val="21"/>
              </w:rPr>
            </w:pPr>
          </w:p>
        </w:tc>
        <w:tc>
          <w:tcPr>
            <w:tcW w:w="1400" w:type="dxa"/>
            <w:vMerge w:val="restart"/>
            <w:shd w:val="clear" w:color="auto" w:fill="auto"/>
            <w:vAlign w:val="center"/>
          </w:tcPr>
          <w:p w14:paraId="35964F88">
            <w:pPr>
              <w:widowControl/>
              <w:jc w:val="left"/>
              <w:rPr>
                <w:rFonts w:hint="eastAsia" w:ascii="宋体" w:hAnsi="宋体" w:cs="宋体"/>
                <w:kern w:val="0"/>
                <w:sz w:val="21"/>
                <w:szCs w:val="21"/>
              </w:rPr>
            </w:pPr>
            <w:r>
              <w:rPr>
                <w:rFonts w:hint="eastAsia" w:ascii="宋体" w:hAnsi="宋体" w:cs="宋体"/>
                <w:kern w:val="0"/>
                <w:sz w:val="21"/>
                <w:szCs w:val="21"/>
              </w:rPr>
              <w:t>硬件规格</w:t>
            </w:r>
          </w:p>
        </w:tc>
        <w:tc>
          <w:tcPr>
            <w:tcW w:w="5160" w:type="dxa"/>
            <w:shd w:val="clear" w:color="auto" w:fill="auto"/>
            <w:vAlign w:val="center"/>
          </w:tcPr>
          <w:p w14:paraId="6275F297">
            <w:pPr>
              <w:widowControl/>
              <w:jc w:val="left"/>
              <w:rPr>
                <w:rFonts w:hint="eastAsia" w:ascii="宋体" w:hAnsi="宋体" w:cs="宋体"/>
                <w:kern w:val="0"/>
                <w:sz w:val="21"/>
                <w:szCs w:val="21"/>
              </w:rPr>
            </w:pPr>
            <w:r>
              <w:rPr>
                <w:rFonts w:hint="eastAsia" w:ascii="宋体" w:hAnsi="宋体" w:cs="宋体"/>
                <w:kern w:val="0"/>
                <w:sz w:val="21"/>
                <w:szCs w:val="21"/>
              </w:rPr>
              <w:t>支持1G/10G类型接口</w:t>
            </w:r>
          </w:p>
        </w:tc>
      </w:tr>
      <w:tr w14:paraId="785B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D461D00">
            <w:pPr>
              <w:widowControl/>
              <w:jc w:val="left"/>
              <w:rPr>
                <w:rFonts w:hint="eastAsia" w:ascii="宋体" w:hAnsi="宋体" w:cs="宋体"/>
                <w:kern w:val="0"/>
                <w:sz w:val="21"/>
                <w:szCs w:val="21"/>
              </w:rPr>
            </w:pPr>
          </w:p>
        </w:tc>
        <w:tc>
          <w:tcPr>
            <w:tcW w:w="780" w:type="dxa"/>
            <w:vMerge w:val="continue"/>
            <w:vAlign w:val="center"/>
          </w:tcPr>
          <w:p w14:paraId="75D34697">
            <w:pPr>
              <w:widowControl/>
              <w:jc w:val="left"/>
              <w:rPr>
                <w:rFonts w:hint="eastAsia" w:ascii="宋体" w:hAnsi="宋体" w:cs="宋体"/>
                <w:kern w:val="0"/>
                <w:sz w:val="21"/>
                <w:szCs w:val="21"/>
              </w:rPr>
            </w:pPr>
          </w:p>
        </w:tc>
        <w:tc>
          <w:tcPr>
            <w:tcW w:w="1400" w:type="dxa"/>
            <w:vMerge w:val="continue"/>
            <w:vAlign w:val="center"/>
          </w:tcPr>
          <w:p w14:paraId="4547F488">
            <w:pPr>
              <w:widowControl/>
              <w:jc w:val="left"/>
              <w:rPr>
                <w:rFonts w:hint="eastAsia" w:ascii="宋体" w:hAnsi="宋体" w:cs="宋体"/>
                <w:kern w:val="0"/>
                <w:sz w:val="21"/>
                <w:szCs w:val="21"/>
              </w:rPr>
            </w:pPr>
          </w:p>
        </w:tc>
        <w:tc>
          <w:tcPr>
            <w:tcW w:w="5160" w:type="dxa"/>
            <w:shd w:val="clear" w:color="auto" w:fill="auto"/>
            <w:vAlign w:val="center"/>
          </w:tcPr>
          <w:p w14:paraId="747CF1F9">
            <w:pPr>
              <w:widowControl/>
              <w:jc w:val="left"/>
              <w:rPr>
                <w:rFonts w:hint="eastAsia" w:ascii="宋体" w:hAnsi="宋体" w:cs="宋体"/>
                <w:kern w:val="0"/>
                <w:sz w:val="21"/>
                <w:szCs w:val="21"/>
              </w:rPr>
            </w:pPr>
            <w:r>
              <w:rPr>
                <w:rFonts w:hint="eastAsia" w:ascii="宋体" w:hAnsi="宋体" w:cs="宋体"/>
                <w:kern w:val="0"/>
                <w:sz w:val="21"/>
                <w:szCs w:val="21"/>
              </w:rPr>
              <w:t>≥4个千兆GE接口，≥4个千兆SFP接口，≥6个万兆SFP+接口</w:t>
            </w:r>
          </w:p>
        </w:tc>
      </w:tr>
      <w:tr w14:paraId="54F9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875C100">
            <w:pPr>
              <w:widowControl/>
              <w:jc w:val="left"/>
              <w:rPr>
                <w:rFonts w:hint="eastAsia" w:ascii="宋体" w:hAnsi="宋体" w:cs="宋体"/>
                <w:kern w:val="0"/>
                <w:sz w:val="21"/>
                <w:szCs w:val="21"/>
              </w:rPr>
            </w:pPr>
          </w:p>
        </w:tc>
        <w:tc>
          <w:tcPr>
            <w:tcW w:w="780" w:type="dxa"/>
            <w:vMerge w:val="continue"/>
            <w:vAlign w:val="center"/>
          </w:tcPr>
          <w:p w14:paraId="587A2299">
            <w:pPr>
              <w:widowControl/>
              <w:jc w:val="left"/>
              <w:rPr>
                <w:rFonts w:hint="eastAsia" w:ascii="宋体" w:hAnsi="宋体" w:cs="宋体"/>
                <w:kern w:val="0"/>
                <w:sz w:val="21"/>
                <w:szCs w:val="21"/>
              </w:rPr>
            </w:pPr>
          </w:p>
        </w:tc>
        <w:tc>
          <w:tcPr>
            <w:tcW w:w="1400" w:type="dxa"/>
            <w:vMerge w:val="continue"/>
            <w:vAlign w:val="center"/>
          </w:tcPr>
          <w:p w14:paraId="608E1C53">
            <w:pPr>
              <w:widowControl/>
              <w:jc w:val="left"/>
              <w:rPr>
                <w:rFonts w:hint="eastAsia" w:ascii="宋体" w:hAnsi="宋体" w:cs="宋体"/>
                <w:kern w:val="0"/>
                <w:sz w:val="21"/>
                <w:szCs w:val="21"/>
              </w:rPr>
            </w:pPr>
          </w:p>
        </w:tc>
        <w:tc>
          <w:tcPr>
            <w:tcW w:w="5160" w:type="dxa"/>
            <w:shd w:val="clear" w:color="auto" w:fill="auto"/>
            <w:vAlign w:val="center"/>
          </w:tcPr>
          <w:p w14:paraId="46E186B3">
            <w:pPr>
              <w:widowControl/>
              <w:jc w:val="left"/>
              <w:rPr>
                <w:rFonts w:hint="eastAsia" w:ascii="宋体" w:hAnsi="宋体" w:cs="宋体"/>
                <w:kern w:val="0"/>
                <w:sz w:val="21"/>
                <w:szCs w:val="21"/>
              </w:rPr>
            </w:pPr>
            <w:r>
              <w:rPr>
                <w:rFonts w:hint="eastAsia" w:ascii="宋体" w:hAnsi="宋体" w:cs="宋体"/>
                <w:kern w:val="0"/>
                <w:sz w:val="21"/>
                <w:szCs w:val="21"/>
              </w:rPr>
              <w:t>冗余电源，支持热插拔</w:t>
            </w:r>
          </w:p>
        </w:tc>
      </w:tr>
      <w:tr w14:paraId="2205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ECEF4EB">
            <w:pPr>
              <w:widowControl/>
              <w:jc w:val="left"/>
              <w:rPr>
                <w:rFonts w:hint="eastAsia" w:ascii="宋体" w:hAnsi="宋体" w:cs="宋体"/>
                <w:kern w:val="0"/>
                <w:sz w:val="21"/>
                <w:szCs w:val="21"/>
              </w:rPr>
            </w:pPr>
          </w:p>
        </w:tc>
        <w:tc>
          <w:tcPr>
            <w:tcW w:w="780" w:type="dxa"/>
            <w:vMerge w:val="continue"/>
            <w:vAlign w:val="center"/>
          </w:tcPr>
          <w:p w14:paraId="6496D6C7">
            <w:pPr>
              <w:widowControl/>
              <w:jc w:val="left"/>
              <w:rPr>
                <w:rFonts w:hint="eastAsia" w:ascii="宋体" w:hAnsi="宋体" w:cs="宋体"/>
                <w:kern w:val="0"/>
                <w:sz w:val="21"/>
                <w:szCs w:val="21"/>
              </w:rPr>
            </w:pPr>
          </w:p>
        </w:tc>
        <w:tc>
          <w:tcPr>
            <w:tcW w:w="1400" w:type="dxa"/>
            <w:vMerge w:val="continue"/>
            <w:vAlign w:val="center"/>
          </w:tcPr>
          <w:p w14:paraId="09BA706E">
            <w:pPr>
              <w:widowControl/>
              <w:jc w:val="left"/>
              <w:rPr>
                <w:rFonts w:hint="eastAsia" w:ascii="宋体" w:hAnsi="宋体" w:cs="宋体"/>
                <w:kern w:val="0"/>
                <w:sz w:val="21"/>
                <w:szCs w:val="21"/>
              </w:rPr>
            </w:pPr>
          </w:p>
        </w:tc>
        <w:tc>
          <w:tcPr>
            <w:tcW w:w="5160" w:type="dxa"/>
            <w:shd w:val="clear" w:color="auto" w:fill="auto"/>
            <w:vAlign w:val="center"/>
          </w:tcPr>
          <w:p w14:paraId="5077E129">
            <w:pPr>
              <w:widowControl/>
              <w:jc w:val="left"/>
              <w:rPr>
                <w:rFonts w:hint="eastAsia" w:ascii="宋体" w:hAnsi="宋体" w:cs="宋体"/>
                <w:kern w:val="0"/>
                <w:sz w:val="21"/>
                <w:szCs w:val="21"/>
              </w:rPr>
            </w:pPr>
            <w:r>
              <w:rPr>
                <w:rFonts w:hint="eastAsia" w:ascii="宋体" w:hAnsi="宋体" w:cs="宋体"/>
                <w:kern w:val="0"/>
                <w:sz w:val="21"/>
                <w:szCs w:val="21"/>
              </w:rPr>
              <w:t>设备高度1U</w:t>
            </w:r>
          </w:p>
        </w:tc>
      </w:tr>
      <w:tr w14:paraId="5120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0CC2F4C">
            <w:pPr>
              <w:widowControl/>
              <w:jc w:val="left"/>
              <w:rPr>
                <w:rFonts w:hint="eastAsia" w:ascii="宋体" w:hAnsi="宋体" w:cs="宋体"/>
                <w:kern w:val="0"/>
                <w:sz w:val="21"/>
                <w:szCs w:val="21"/>
              </w:rPr>
            </w:pPr>
          </w:p>
        </w:tc>
        <w:tc>
          <w:tcPr>
            <w:tcW w:w="780" w:type="dxa"/>
            <w:vMerge w:val="continue"/>
            <w:vAlign w:val="center"/>
          </w:tcPr>
          <w:p w14:paraId="443F4D74">
            <w:pPr>
              <w:widowControl/>
              <w:jc w:val="left"/>
              <w:rPr>
                <w:rFonts w:hint="eastAsia" w:ascii="宋体" w:hAnsi="宋体" w:cs="宋体"/>
                <w:kern w:val="0"/>
                <w:sz w:val="21"/>
                <w:szCs w:val="21"/>
              </w:rPr>
            </w:pPr>
          </w:p>
        </w:tc>
        <w:tc>
          <w:tcPr>
            <w:tcW w:w="1400" w:type="dxa"/>
            <w:shd w:val="clear" w:color="auto" w:fill="auto"/>
            <w:vAlign w:val="center"/>
          </w:tcPr>
          <w:p w14:paraId="4B8B229F">
            <w:pPr>
              <w:widowControl/>
              <w:jc w:val="left"/>
              <w:rPr>
                <w:rFonts w:hint="eastAsia" w:ascii="宋体" w:hAnsi="宋体" w:cs="宋体"/>
                <w:kern w:val="0"/>
                <w:sz w:val="21"/>
                <w:szCs w:val="21"/>
              </w:rPr>
            </w:pPr>
            <w:r>
              <w:rPr>
                <w:rFonts w:hint="eastAsia" w:ascii="宋体" w:hAnsi="宋体" w:cs="宋体"/>
                <w:kern w:val="0"/>
                <w:sz w:val="21"/>
                <w:szCs w:val="21"/>
              </w:rPr>
              <w:t>维保要求</w:t>
            </w:r>
          </w:p>
        </w:tc>
        <w:tc>
          <w:tcPr>
            <w:tcW w:w="5160" w:type="dxa"/>
            <w:shd w:val="clear" w:color="auto" w:fill="auto"/>
            <w:vAlign w:val="center"/>
          </w:tcPr>
          <w:p w14:paraId="33BC128B">
            <w:pPr>
              <w:widowControl/>
              <w:jc w:val="left"/>
              <w:rPr>
                <w:rFonts w:hint="eastAsia" w:ascii="宋体" w:hAnsi="宋体" w:cs="宋体"/>
                <w:kern w:val="0"/>
                <w:sz w:val="21"/>
                <w:szCs w:val="21"/>
              </w:rPr>
            </w:pPr>
            <w:r>
              <w:rPr>
                <w:rFonts w:hint="eastAsia" w:ascii="宋体" w:hAnsi="宋体" w:cs="宋体"/>
                <w:kern w:val="0"/>
                <w:sz w:val="21"/>
                <w:szCs w:val="21"/>
              </w:rPr>
              <w:t>所有设备包含5年原厂维护服务</w:t>
            </w:r>
          </w:p>
        </w:tc>
      </w:tr>
      <w:tr w14:paraId="5C34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8219AD3">
            <w:pPr>
              <w:widowControl/>
              <w:jc w:val="left"/>
              <w:rPr>
                <w:rFonts w:hint="eastAsia" w:ascii="宋体" w:hAnsi="宋体" w:cs="宋体"/>
                <w:kern w:val="0"/>
                <w:sz w:val="21"/>
                <w:szCs w:val="21"/>
              </w:rPr>
            </w:pPr>
          </w:p>
        </w:tc>
        <w:tc>
          <w:tcPr>
            <w:tcW w:w="780" w:type="dxa"/>
            <w:vMerge w:val="restart"/>
            <w:shd w:val="clear" w:color="auto" w:fill="auto"/>
            <w:vAlign w:val="center"/>
          </w:tcPr>
          <w:p w14:paraId="1C3D6F37">
            <w:pPr>
              <w:widowControl/>
              <w:jc w:val="center"/>
              <w:rPr>
                <w:rFonts w:hint="eastAsia" w:ascii="宋体" w:hAnsi="宋体" w:cs="宋体"/>
                <w:kern w:val="0"/>
                <w:sz w:val="21"/>
                <w:szCs w:val="21"/>
              </w:rPr>
            </w:pPr>
            <w:r>
              <w:rPr>
                <w:rFonts w:hint="eastAsia" w:ascii="宋体" w:hAnsi="宋体" w:cs="宋体"/>
                <w:kern w:val="0"/>
                <w:sz w:val="21"/>
                <w:szCs w:val="21"/>
              </w:rPr>
              <w:t>功能要求</w:t>
            </w:r>
          </w:p>
        </w:tc>
        <w:tc>
          <w:tcPr>
            <w:tcW w:w="1400" w:type="dxa"/>
            <w:shd w:val="clear" w:color="auto" w:fill="auto"/>
            <w:vAlign w:val="center"/>
          </w:tcPr>
          <w:p w14:paraId="7BE04D4B">
            <w:pPr>
              <w:widowControl/>
              <w:jc w:val="left"/>
              <w:rPr>
                <w:rFonts w:hint="eastAsia" w:ascii="宋体" w:hAnsi="宋体" w:cs="宋体"/>
                <w:kern w:val="0"/>
                <w:sz w:val="21"/>
                <w:szCs w:val="21"/>
              </w:rPr>
            </w:pPr>
            <w:r>
              <w:rPr>
                <w:rFonts w:hint="eastAsia" w:ascii="宋体" w:hAnsi="宋体" w:cs="宋体"/>
                <w:kern w:val="0"/>
                <w:sz w:val="21"/>
                <w:szCs w:val="21"/>
              </w:rPr>
              <w:t>工作模式</w:t>
            </w:r>
          </w:p>
        </w:tc>
        <w:tc>
          <w:tcPr>
            <w:tcW w:w="5160" w:type="dxa"/>
            <w:shd w:val="clear" w:color="auto" w:fill="auto"/>
            <w:vAlign w:val="center"/>
          </w:tcPr>
          <w:p w14:paraId="67023EEA">
            <w:pPr>
              <w:widowControl/>
              <w:jc w:val="left"/>
              <w:rPr>
                <w:rFonts w:hint="eastAsia" w:ascii="宋体" w:hAnsi="宋体" w:cs="宋体"/>
                <w:kern w:val="0"/>
                <w:sz w:val="21"/>
                <w:szCs w:val="21"/>
              </w:rPr>
            </w:pPr>
            <w:r>
              <w:rPr>
                <w:rFonts w:hint="eastAsia" w:ascii="宋体" w:hAnsi="宋体" w:cs="宋体"/>
                <w:kern w:val="0"/>
                <w:sz w:val="21"/>
                <w:szCs w:val="21"/>
              </w:rPr>
              <w:t>支持透明、路由、混合、旁路四种工作模式；</w:t>
            </w:r>
          </w:p>
        </w:tc>
      </w:tr>
      <w:tr w14:paraId="492F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4A5F1CF">
            <w:pPr>
              <w:widowControl/>
              <w:jc w:val="left"/>
              <w:rPr>
                <w:rFonts w:hint="eastAsia" w:ascii="宋体" w:hAnsi="宋体" w:cs="宋体"/>
                <w:kern w:val="0"/>
                <w:sz w:val="21"/>
                <w:szCs w:val="21"/>
              </w:rPr>
            </w:pPr>
          </w:p>
        </w:tc>
        <w:tc>
          <w:tcPr>
            <w:tcW w:w="780" w:type="dxa"/>
            <w:vMerge w:val="continue"/>
            <w:vAlign w:val="center"/>
          </w:tcPr>
          <w:p w14:paraId="4D3A8AC2">
            <w:pPr>
              <w:widowControl/>
              <w:jc w:val="left"/>
              <w:rPr>
                <w:rFonts w:hint="eastAsia" w:ascii="宋体" w:hAnsi="宋体" w:cs="宋体"/>
                <w:kern w:val="0"/>
                <w:sz w:val="21"/>
                <w:szCs w:val="21"/>
              </w:rPr>
            </w:pPr>
          </w:p>
        </w:tc>
        <w:tc>
          <w:tcPr>
            <w:tcW w:w="1400" w:type="dxa"/>
            <w:shd w:val="clear" w:color="auto" w:fill="auto"/>
            <w:vAlign w:val="center"/>
          </w:tcPr>
          <w:p w14:paraId="59EA1848">
            <w:pPr>
              <w:widowControl/>
              <w:jc w:val="left"/>
              <w:rPr>
                <w:rFonts w:hint="eastAsia" w:ascii="宋体" w:hAnsi="宋体" w:cs="宋体"/>
                <w:kern w:val="0"/>
                <w:sz w:val="21"/>
                <w:szCs w:val="21"/>
              </w:rPr>
            </w:pPr>
            <w:r>
              <w:rPr>
                <w:rFonts w:hint="eastAsia" w:ascii="宋体" w:hAnsi="宋体" w:cs="宋体"/>
                <w:kern w:val="0"/>
                <w:sz w:val="21"/>
                <w:szCs w:val="21"/>
              </w:rPr>
              <w:t>组播特性</w:t>
            </w:r>
          </w:p>
        </w:tc>
        <w:tc>
          <w:tcPr>
            <w:tcW w:w="5160" w:type="dxa"/>
            <w:shd w:val="clear" w:color="auto" w:fill="auto"/>
            <w:vAlign w:val="center"/>
          </w:tcPr>
          <w:p w14:paraId="04B259E7">
            <w:pPr>
              <w:widowControl/>
              <w:jc w:val="left"/>
              <w:rPr>
                <w:rFonts w:hint="eastAsia" w:ascii="宋体" w:hAnsi="宋体" w:cs="宋体"/>
                <w:kern w:val="0"/>
                <w:sz w:val="21"/>
                <w:szCs w:val="21"/>
              </w:rPr>
            </w:pPr>
            <w:r>
              <w:rPr>
                <w:rFonts w:hint="eastAsia" w:ascii="宋体" w:hAnsi="宋体" w:cs="宋体"/>
                <w:kern w:val="0"/>
                <w:sz w:val="21"/>
                <w:szCs w:val="21"/>
              </w:rPr>
              <w:t>支持PIM、PIM-SM、PIM-SSM、IGMPv2、IGMPv3等</w:t>
            </w:r>
          </w:p>
        </w:tc>
      </w:tr>
      <w:tr w14:paraId="1533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2577626">
            <w:pPr>
              <w:widowControl/>
              <w:jc w:val="left"/>
              <w:rPr>
                <w:rFonts w:hint="eastAsia" w:ascii="宋体" w:hAnsi="宋体" w:cs="宋体"/>
                <w:kern w:val="0"/>
                <w:sz w:val="21"/>
                <w:szCs w:val="21"/>
              </w:rPr>
            </w:pPr>
          </w:p>
        </w:tc>
        <w:tc>
          <w:tcPr>
            <w:tcW w:w="780" w:type="dxa"/>
            <w:vMerge w:val="continue"/>
            <w:vAlign w:val="center"/>
          </w:tcPr>
          <w:p w14:paraId="305C79E8">
            <w:pPr>
              <w:widowControl/>
              <w:jc w:val="left"/>
              <w:rPr>
                <w:rFonts w:hint="eastAsia" w:ascii="宋体" w:hAnsi="宋体" w:cs="宋体"/>
                <w:kern w:val="0"/>
                <w:sz w:val="21"/>
                <w:szCs w:val="21"/>
              </w:rPr>
            </w:pPr>
          </w:p>
        </w:tc>
        <w:tc>
          <w:tcPr>
            <w:tcW w:w="1400" w:type="dxa"/>
            <w:vMerge w:val="restart"/>
            <w:shd w:val="clear" w:color="auto" w:fill="auto"/>
            <w:vAlign w:val="center"/>
          </w:tcPr>
          <w:p w14:paraId="66BD748C">
            <w:pPr>
              <w:widowControl/>
              <w:jc w:val="left"/>
              <w:rPr>
                <w:rFonts w:hint="eastAsia" w:ascii="宋体" w:hAnsi="宋体" w:cs="宋体"/>
                <w:kern w:val="0"/>
                <w:sz w:val="21"/>
                <w:szCs w:val="21"/>
              </w:rPr>
            </w:pPr>
            <w:r>
              <w:rPr>
                <w:rFonts w:hint="eastAsia" w:ascii="宋体" w:hAnsi="宋体" w:cs="宋体"/>
                <w:kern w:val="0"/>
                <w:sz w:val="21"/>
                <w:szCs w:val="21"/>
              </w:rPr>
              <w:t>三层功能</w:t>
            </w:r>
          </w:p>
        </w:tc>
        <w:tc>
          <w:tcPr>
            <w:tcW w:w="5160" w:type="dxa"/>
            <w:shd w:val="clear" w:color="auto" w:fill="auto"/>
            <w:vAlign w:val="center"/>
          </w:tcPr>
          <w:p w14:paraId="0D2D12B4">
            <w:pPr>
              <w:widowControl/>
              <w:jc w:val="left"/>
              <w:rPr>
                <w:rFonts w:hint="eastAsia" w:ascii="宋体" w:hAnsi="宋体" w:cs="宋体"/>
                <w:kern w:val="0"/>
                <w:sz w:val="21"/>
                <w:szCs w:val="21"/>
              </w:rPr>
            </w:pPr>
            <w:r>
              <w:rPr>
                <w:rFonts w:hint="eastAsia" w:ascii="宋体" w:hAnsi="宋体" w:cs="宋体"/>
                <w:kern w:val="0"/>
                <w:sz w:val="21"/>
                <w:szCs w:val="21"/>
              </w:rPr>
              <w:t>支持RIP、OSPF、ISIS、BGP等IPv4动态路由协议</w:t>
            </w:r>
          </w:p>
        </w:tc>
      </w:tr>
      <w:tr w14:paraId="2D68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7BE807A">
            <w:pPr>
              <w:widowControl/>
              <w:jc w:val="left"/>
              <w:rPr>
                <w:rFonts w:hint="eastAsia" w:ascii="宋体" w:hAnsi="宋体" w:cs="宋体"/>
                <w:kern w:val="0"/>
                <w:sz w:val="21"/>
                <w:szCs w:val="21"/>
              </w:rPr>
            </w:pPr>
          </w:p>
        </w:tc>
        <w:tc>
          <w:tcPr>
            <w:tcW w:w="780" w:type="dxa"/>
            <w:vMerge w:val="continue"/>
            <w:vAlign w:val="center"/>
          </w:tcPr>
          <w:p w14:paraId="1253A576">
            <w:pPr>
              <w:widowControl/>
              <w:jc w:val="left"/>
              <w:rPr>
                <w:rFonts w:hint="eastAsia" w:ascii="宋体" w:hAnsi="宋体" w:cs="宋体"/>
                <w:kern w:val="0"/>
                <w:sz w:val="21"/>
                <w:szCs w:val="21"/>
              </w:rPr>
            </w:pPr>
          </w:p>
        </w:tc>
        <w:tc>
          <w:tcPr>
            <w:tcW w:w="1400" w:type="dxa"/>
            <w:vMerge w:val="continue"/>
            <w:vAlign w:val="center"/>
          </w:tcPr>
          <w:p w14:paraId="2DFF4AE1">
            <w:pPr>
              <w:widowControl/>
              <w:jc w:val="left"/>
              <w:rPr>
                <w:rFonts w:hint="eastAsia" w:ascii="宋体" w:hAnsi="宋体" w:cs="宋体"/>
                <w:kern w:val="0"/>
                <w:sz w:val="21"/>
                <w:szCs w:val="21"/>
              </w:rPr>
            </w:pPr>
          </w:p>
        </w:tc>
        <w:tc>
          <w:tcPr>
            <w:tcW w:w="5160" w:type="dxa"/>
            <w:shd w:val="clear" w:color="auto" w:fill="auto"/>
            <w:vAlign w:val="center"/>
          </w:tcPr>
          <w:p w14:paraId="35E85741">
            <w:pPr>
              <w:widowControl/>
              <w:jc w:val="left"/>
              <w:rPr>
                <w:rFonts w:hint="eastAsia" w:ascii="宋体" w:hAnsi="宋体" w:cs="宋体"/>
                <w:kern w:val="0"/>
                <w:sz w:val="21"/>
                <w:szCs w:val="21"/>
              </w:rPr>
            </w:pPr>
            <w:r>
              <w:rPr>
                <w:rFonts w:hint="eastAsia" w:ascii="宋体" w:hAnsi="宋体" w:cs="宋体"/>
                <w:kern w:val="0"/>
                <w:sz w:val="21"/>
                <w:szCs w:val="21"/>
              </w:rPr>
              <w:t>支持RIPng、OSPFv3、ISISv6、BGP4+等IPv6动态路由协议</w:t>
            </w:r>
          </w:p>
        </w:tc>
      </w:tr>
      <w:tr w14:paraId="0CAE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21F3569">
            <w:pPr>
              <w:widowControl/>
              <w:jc w:val="left"/>
              <w:rPr>
                <w:rFonts w:hint="eastAsia" w:ascii="宋体" w:hAnsi="宋体" w:cs="宋体"/>
                <w:kern w:val="0"/>
                <w:sz w:val="21"/>
                <w:szCs w:val="21"/>
              </w:rPr>
            </w:pPr>
          </w:p>
        </w:tc>
        <w:tc>
          <w:tcPr>
            <w:tcW w:w="780" w:type="dxa"/>
            <w:vMerge w:val="continue"/>
            <w:vAlign w:val="center"/>
          </w:tcPr>
          <w:p w14:paraId="5250B0D8">
            <w:pPr>
              <w:widowControl/>
              <w:jc w:val="left"/>
              <w:rPr>
                <w:rFonts w:hint="eastAsia" w:ascii="宋体" w:hAnsi="宋体" w:cs="宋体"/>
                <w:kern w:val="0"/>
                <w:sz w:val="21"/>
                <w:szCs w:val="21"/>
              </w:rPr>
            </w:pPr>
          </w:p>
        </w:tc>
        <w:tc>
          <w:tcPr>
            <w:tcW w:w="1400" w:type="dxa"/>
            <w:vMerge w:val="continue"/>
            <w:vAlign w:val="center"/>
          </w:tcPr>
          <w:p w14:paraId="7C9D350B">
            <w:pPr>
              <w:widowControl/>
              <w:jc w:val="left"/>
              <w:rPr>
                <w:rFonts w:hint="eastAsia" w:ascii="宋体" w:hAnsi="宋体" w:cs="宋体"/>
                <w:kern w:val="0"/>
                <w:sz w:val="21"/>
                <w:szCs w:val="21"/>
              </w:rPr>
            </w:pPr>
          </w:p>
        </w:tc>
        <w:tc>
          <w:tcPr>
            <w:tcW w:w="5160" w:type="dxa"/>
            <w:shd w:val="clear" w:color="auto" w:fill="auto"/>
            <w:vAlign w:val="center"/>
          </w:tcPr>
          <w:p w14:paraId="3608DA63">
            <w:pPr>
              <w:widowControl/>
              <w:jc w:val="left"/>
              <w:rPr>
                <w:rFonts w:hint="eastAsia" w:ascii="宋体" w:hAnsi="宋体" w:cs="宋体"/>
                <w:kern w:val="0"/>
                <w:sz w:val="21"/>
                <w:szCs w:val="21"/>
              </w:rPr>
            </w:pPr>
            <w:r>
              <w:rPr>
                <w:rFonts w:hint="eastAsia" w:ascii="宋体" w:hAnsi="宋体" w:cs="宋体"/>
                <w:kern w:val="0"/>
                <w:sz w:val="21"/>
                <w:szCs w:val="21"/>
              </w:rPr>
              <w:t>支持策略路由，支持基于应用的策略路由</w:t>
            </w:r>
          </w:p>
        </w:tc>
      </w:tr>
      <w:tr w14:paraId="392D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A86FF9D">
            <w:pPr>
              <w:widowControl/>
              <w:jc w:val="left"/>
              <w:rPr>
                <w:rFonts w:hint="eastAsia" w:ascii="宋体" w:hAnsi="宋体" w:cs="宋体"/>
                <w:kern w:val="0"/>
                <w:sz w:val="21"/>
                <w:szCs w:val="21"/>
              </w:rPr>
            </w:pPr>
          </w:p>
        </w:tc>
        <w:tc>
          <w:tcPr>
            <w:tcW w:w="780" w:type="dxa"/>
            <w:vMerge w:val="continue"/>
            <w:vAlign w:val="center"/>
          </w:tcPr>
          <w:p w14:paraId="180904ED">
            <w:pPr>
              <w:widowControl/>
              <w:jc w:val="left"/>
              <w:rPr>
                <w:rFonts w:hint="eastAsia" w:ascii="宋体" w:hAnsi="宋体" w:cs="宋体"/>
                <w:kern w:val="0"/>
                <w:sz w:val="21"/>
                <w:szCs w:val="21"/>
              </w:rPr>
            </w:pPr>
          </w:p>
        </w:tc>
        <w:tc>
          <w:tcPr>
            <w:tcW w:w="1400" w:type="dxa"/>
            <w:vMerge w:val="continue"/>
            <w:vAlign w:val="center"/>
          </w:tcPr>
          <w:p w14:paraId="2D0EB83D">
            <w:pPr>
              <w:widowControl/>
              <w:jc w:val="left"/>
              <w:rPr>
                <w:rFonts w:hint="eastAsia" w:ascii="宋体" w:hAnsi="宋体" w:cs="宋体"/>
                <w:kern w:val="0"/>
                <w:sz w:val="21"/>
                <w:szCs w:val="21"/>
              </w:rPr>
            </w:pPr>
          </w:p>
        </w:tc>
        <w:tc>
          <w:tcPr>
            <w:tcW w:w="5160" w:type="dxa"/>
            <w:shd w:val="clear" w:color="auto" w:fill="auto"/>
            <w:vAlign w:val="center"/>
          </w:tcPr>
          <w:p w14:paraId="28BEC238">
            <w:pPr>
              <w:widowControl/>
              <w:jc w:val="left"/>
              <w:rPr>
                <w:rFonts w:hint="eastAsia" w:ascii="宋体" w:hAnsi="宋体" w:cs="宋体"/>
                <w:kern w:val="0"/>
                <w:sz w:val="21"/>
                <w:szCs w:val="21"/>
              </w:rPr>
            </w:pPr>
            <w:r>
              <w:rPr>
                <w:rFonts w:hint="eastAsia" w:ascii="宋体" w:hAnsi="宋体" w:cs="宋体"/>
                <w:kern w:val="0"/>
                <w:sz w:val="21"/>
                <w:szCs w:val="21"/>
              </w:rPr>
              <w:t>支持IPv6 ND、PMTU发现</w:t>
            </w:r>
          </w:p>
        </w:tc>
      </w:tr>
      <w:tr w14:paraId="74EF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90B5FBE">
            <w:pPr>
              <w:widowControl/>
              <w:jc w:val="left"/>
              <w:rPr>
                <w:rFonts w:hint="eastAsia" w:ascii="宋体" w:hAnsi="宋体" w:cs="宋体"/>
                <w:kern w:val="0"/>
                <w:sz w:val="21"/>
                <w:szCs w:val="21"/>
              </w:rPr>
            </w:pPr>
          </w:p>
        </w:tc>
        <w:tc>
          <w:tcPr>
            <w:tcW w:w="780" w:type="dxa"/>
            <w:vMerge w:val="continue"/>
            <w:vAlign w:val="center"/>
          </w:tcPr>
          <w:p w14:paraId="3464B412">
            <w:pPr>
              <w:widowControl/>
              <w:jc w:val="left"/>
              <w:rPr>
                <w:rFonts w:hint="eastAsia" w:ascii="宋体" w:hAnsi="宋体" w:cs="宋体"/>
                <w:kern w:val="0"/>
                <w:sz w:val="21"/>
                <w:szCs w:val="21"/>
              </w:rPr>
            </w:pPr>
          </w:p>
        </w:tc>
        <w:tc>
          <w:tcPr>
            <w:tcW w:w="1400" w:type="dxa"/>
            <w:vMerge w:val="continue"/>
            <w:vAlign w:val="center"/>
          </w:tcPr>
          <w:p w14:paraId="165CEB49">
            <w:pPr>
              <w:widowControl/>
              <w:jc w:val="left"/>
              <w:rPr>
                <w:rFonts w:hint="eastAsia" w:ascii="宋体" w:hAnsi="宋体" w:cs="宋体"/>
                <w:kern w:val="0"/>
                <w:sz w:val="21"/>
                <w:szCs w:val="21"/>
              </w:rPr>
            </w:pPr>
          </w:p>
        </w:tc>
        <w:tc>
          <w:tcPr>
            <w:tcW w:w="5160" w:type="dxa"/>
            <w:shd w:val="clear" w:color="auto" w:fill="auto"/>
            <w:vAlign w:val="center"/>
          </w:tcPr>
          <w:p w14:paraId="05BB13B5">
            <w:pPr>
              <w:widowControl/>
              <w:jc w:val="left"/>
              <w:rPr>
                <w:rFonts w:hint="eastAsia" w:ascii="宋体" w:hAnsi="宋体" w:cs="宋体"/>
                <w:kern w:val="0"/>
                <w:sz w:val="21"/>
                <w:szCs w:val="21"/>
              </w:rPr>
            </w:pPr>
            <w:r>
              <w:rPr>
                <w:rFonts w:hint="eastAsia" w:ascii="宋体" w:hAnsi="宋体" w:cs="宋体"/>
                <w:kern w:val="0"/>
                <w:sz w:val="21"/>
                <w:szCs w:val="21"/>
              </w:rPr>
              <w:t>支持BFD双向检测</w:t>
            </w:r>
          </w:p>
        </w:tc>
      </w:tr>
      <w:tr w14:paraId="2713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D7767B5">
            <w:pPr>
              <w:widowControl/>
              <w:jc w:val="left"/>
              <w:rPr>
                <w:rFonts w:hint="eastAsia" w:ascii="宋体" w:hAnsi="宋体" w:cs="宋体"/>
                <w:kern w:val="0"/>
                <w:sz w:val="21"/>
                <w:szCs w:val="21"/>
              </w:rPr>
            </w:pPr>
          </w:p>
        </w:tc>
        <w:tc>
          <w:tcPr>
            <w:tcW w:w="780" w:type="dxa"/>
            <w:vMerge w:val="continue"/>
            <w:vAlign w:val="center"/>
          </w:tcPr>
          <w:p w14:paraId="58D25FCC">
            <w:pPr>
              <w:widowControl/>
              <w:jc w:val="left"/>
              <w:rPr>
                <w:rFonts w:hint="eastAsia" w:ascii="宋体" w:hAnsi="宋体" w:cs="宋体"/>
                <w:kern w:val="0"/>
                <w:sz w:val="21"/>
                <w:szCs w:val="21"/>
              </w:rPr>
            </w:pPr>
          </w:p>
        </w:tc>
        <w:tc>
          <w:tcPr>
            <w:tcW w:w="1400" w:type="dxa"/>
            <w:vMerge w:val="restart"/>
            <w:shd w:val="clear" w:color="auto" w:fill="auto"/>
            <w:vAlign w:val="center"/>
          </w:tcPr>
          <w:p w14:paraId="19B1F52C">
            <w:pPr>
              <w:widowControl/>
              <w:jc w:val="left"/>
              <w:rPr>
                <w:rFonts w:hint="eastAsia" w:ascii="宋体" w:hAnsi="宋体" w:cs="宋体"/>
                <w:kern w:val="0"/>
                <w:sz w:val="21"/>
                <w:szCs w:val="21"/>
              </w:rPr>
            </w:pPr>
            <w:r>
              <w:rPr>
                <w:rFonts w:hint="eastAsia" w:ascii="宋体" w:hAnsi="宋体" w:cs="宋体"/>
                <w:kern w:val="0"/>
                <w:sz w:val="21"/>
                <w:szCs w:val="21"/>
              </w:rPr>
              <w:t>安全策略</w:t>
            </w:r>
          </w:p>
        </w:tc>
        <w:tc>
          <w:tcPr>
            <w:tcW w:w="5160" w:type="dxa"/>
            <w:shd w:val="clear" w:color="auto" w:fill="auto"/>
            <w:vAlign w:val="center"/>
          </w:tcPr>
          <w:p w14:paraId="5B174737">
            <w:pPr>
              <w:widowControl/>
              <w:jc w:val="left"/>
              <w:rPr>
                <w:rFonts w:hint="eastAsia" w:ascii="宋体" w:hAnsi="宋体" w:cs="宋体"/>
                <w:kern w:val="0"/>
                <w:sz w:val="21"/>
                <w:szCs w:val="21"/>
              </w:rPr>
            </w:pPr>
            <w:r>
              <w:rPr>
                <w:rFonts w:hint="eastAsia" w:ascii="宋体" w:hAnsi="宋体" w:cs="宋体"/>
                <w:kern w:val="0"/>
                <w:sz w:val="21"/>
                <w:szCs w:val="21"/>
              </w:rPr>
              <w:t>支持基于IP地址、服务端口、应用、用户、时间等方式对数据进行访问控制；</w:t>
            </w:r>
          </w:p>
        </w:tc>
      </w:tr>
      <w:tr w14:paraId="18DD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15BBF2D">
            <w:pPr>
              <w:widowControl/>
              <w:jc w:val="left"/>
              <w:rPr>
                <w:rFonts w:hint="eastAsia" w:ascii="宋体" w:hAnsi="宋体" w:cs="宋体"/>
                <w:kern w:val="0"/>
                <w:sz w:val="21"/>
                <w:szCs w:val="21"/>
              </w:rPr>
            </w:pPr>
          </w:p>
        </w:tc>
        <w:tc>
          <w:tcPr>
            <w:tcW w:w="780" w:type="dxa"/>
            <w:vMerge w:val="continue"/>
            <w:vAlign w:val="center"/>
          </w:tcPr>
          <w:p w14:paraId="77C1FBB5">
            <w:pPr>
              <w:widowControl/>
              <w:jc w:val="left"/>
              <w:rPr>
                <w:rFonts w:hint="eastAsia" w:ascii="宋体" w:hAnsi="宋体" w:cs="宋体"/>
                <w:kern w:val="0"/>
                <w:sz w:val="21"/>
                <w:szCs w:val="21"/>
              </w:rPr>
            </w:pPr>
          </w:p>
        </w:tc>
        <w:tc>
          <w:tcPr>
            <w:tcW w:w="1400" w:type="dxa"/>
            <w:vMerge w:val="continue"/>
            <w:vAlign w:val="center"/>
          </w:tcPr>
          <w:p w14:paraId="67E25134">
            <w:pPr>
              <w:widowControl/>
              <w:jc w:val="left"/>
              <w:rPr>
                <w:rFonts w:hint="eastAsia" w:ascii="宋体" w:hAnsi="宋体" w:cs="宋体"/>
                <w:kern w:val="0"/>
                <w:sz w:val="21"/>
                <w:szCs w:val="21"/>
              </w:rPr>
            </w:pPr>
          </w:p>
        </w:tc>
        <w:tc>
          <w:tcPr>
            <w:tcW w:w="5160" w:type="dxa"/>
            <w:shd w:val="clear" w:color="auto" w:fill="auto"/>
            <w:vAlign w:val="center"/>
          </w:tcPr>
          <w:p w14:paraId="70521ADE">
            <w:pPr>
              <w:widowControl/>
              <w:jc w:val="left"/>
              <w:rPr>
                <w:rFonts w:hint="eastAsia" w:ascii="宋体" w:hAnsi="宋体" w:cs="宋体"/>
                <w:kern w:val="0"/>
                <w:sz w:val="21"/>
                <w:szCs w:val="21"/>
              </w:rPr>
            </w:pPr>
            <w:r>
              <w:rPr>
                <w:rFonts w:hint="eastAsia" w:ascii="宋体" w:hAnsi="宋体" w:cs="宋体"/>
                <w:kern w:val="0"/>
                <w:sz w:val="21"/>
                <w:szCs w:val="21"/>
              </w:rPr>
              <w:t>支持策略复制功能</w:t>
            </w:r>
          </w:p>
        </w:tc>
      </w:tr>
      <w:tr w14:paraId="3449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C6EFE5D">
            <w:pPr>
              <w:widowControl/>
              <w:jc w:val="left"/>
              <w:rPr>
                <w:rFonts w:hint="eastAsia" w:ascii="宋体" w:hAnsi="宋体" w:cs="宋体"/>
                <w:kern w:val="0"/>
                <w:sz w:val="21"/>
                <w:szCs w:val="21"/>
              </w:rPr>
            </w:pPr>
          </w:p>
        </w:tc>
        <w:tc>
          <w:tcPr>
            <w:tcW w:w="780" w:type="dxa"/>
            <w:vMerge w:val="continue"/>
            <w:vAlign w:val="center"/>
          </w:tcPr>
          <w:p w14:paraId="1920E4FE">
            <w:pPr>
              <w:widowControl/>
              <w:jc w:val="left"/>
              <w:rPr>
                <w:rFonts w:hint="eastAsia" w:ascii="宋体" w:hAnsi="宋体" w:cs="宋体"/>
                <w:kern w:val="0"/>
                <w:sz w:val="21"/>
                <w:szCs w:val="21"/>
              </w:rPr>
            </w:pPr>
          </w:p>
        </w:tc>
        <w:tc>
          <w:tcPr>
            <w:tcW w:w="1400" w:type="dxa"/>
            <w:vMerge w:val="continue"/>
            <w:vAlign w:val="center"/>
          </w:tcPr>
          <w:p w14:paraId="1DFDA863">
            <w:pPr>
              <w:widowControl/>
              <w:jc w:val="left"/>
              <w:rPr>
                <w:rFonts w:hint="eastAsia" w:ascii="宋体" w:hAnsi="宋体" w:cs="宋体"/>
                <w:kern w:val="0"/>
                <w:sz w:val="21"/>
                <w:szCs w:val="21"/>
              </w:rPr>
            </w:pPr>
          </w:p>
        </w:tc>
        <w:tc>
          <w:tcPr>
            <w:tcW w:w="5160" w:type="dxa"/>
            <w:shd w:val="clear" w:color="auto" w:fill="auto"/>
            <w:vAlign w:val="center"/>
          </w:tcPr>
          <w:p w14:paraId="273195B7">
            <w:pPr>
              <w:widowControl/>
              <w:jc w:val="left"/>
              <w:rPr>
                <w:rFonts w:hint="eastAsia" w:ascii="宋体" w:hAnsi="宋体" w:cs="宋体"/>
                <w:kern w:val="0"/>
                <w:sz w:val="21"/>
                <w:szCs w:val="21"/>
              </w:rPr>
            </w:pPr>
            <w:r>
              <w:rPr>
                <w:rFonts w:hint="eastAsia" w:ascii="宋体" w:hAnsi="宋体" w:cs="宋体"/>
                <w:kern w:val="0"/>
                <w:sz w:val="21"/>
                <w:szCs w:val="21"/>
              </w:rPr>
              <w:t>并可支持过滤条件进行搜索，提供产品配置界面截图；</w:t>
            </w:r>
          </w:p>
        </w:tc>
      </w:tr>
      <w:tr w14:paraId="3770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A1CBF5C">
            <w:pPr>
              <w:widowControl/>
              <w:jc w:val="left"/>
              <w:rPr>
                <w:rFonts w:hint="eastAsia" w:ascii="宋体" w:hAnsi="宋体" w:cs="宋体"/>
                <w:kern w:val="0"/>
                <w:sz w:val="21"/>
                <w:szCs w:val="21"/>
              </w:rPr>
            </w:pPr>
          </w:p>
        </w:tc>
        <w:tc>
          <w:tcPr>
            <w:tcW w:w="780" w:type="dxa"/>
            <w:vMerge w:val="continue"/>
            <w:vAlign w:val="center"/>
          </w:tcPr>
          <w:p w14:paraId="3BE6365E">
            <w:pPr>
              <w:widowControl/>
              <w:jc w:val="left"/>
              <w:rPr>
                <w:rFonts w:hint="eastAsia" w:ascii="宋体" w:hAnsi="宋体" w:cs="宋体"/>
                <w:kern w:val="0"/>
                <w:sz w:val="21"/>
                <w:szCs w:val="21"/>
              </w:rPr>
            </w:pPr>
          </w:p>
        </w:tc>
        <w:tc>
          <w:tcPr>
            <w:tcW w:w="1400" w:type="dxa"/>
            <w:vMerge w:val="continue"/>
            <w:vAlign w:val="center"/>
          </w:tcPr>
          <w:p w14:paraId="09C07710">
            <w:pPr>
              <w:widowControl/>
              <w:jc w:val="left"/>
              <w:rPr>
                <w:rFonts w:hint="eastAsia" w:ascii="宋体" w:hAnsi="宋体" w:cs="宋体"/>
                <w:kern w:val="0"/>
                <w:sz w:val="21"/>
                <w:szCs w:val="21"/>
              </w:rPr>
            </w:pPr>
          </w:p>
        </w:tc>
        <w:tc>
          <w:tcPr>
            <w:tcW w:w="5160" w:type="dxa"/>
            <w:shd w:val="clear" w:color="auto" w:fill="auto"/>
            <w:vAlign w:val="center"/>
          </w:tcPr>
          <w:p w14:paraId="37A45C28">
            <w:pPr>
              <w:widowControl/>
              <w:jc w:val="left"/>
              <w:rPr>
                <w:rFonts w:hint="eastAsia" w:ascii="宋体" w:hAnsi="宋体" w:cs="宋体"/>
                <w:kern w:val="0"/>
                <w:sz w:val="21"/>
                <w:szCs w:val="21"/>
              </w:rPr>
            </w:pPr>
            <w:r>
              <w:rPr>
                <w:rFonts w:hint="eastAsia" w:ascii="宋体" w:hAnsi="宋体" w:cs="宋体"/>
                <w:kern w:val="0"/>
                <w:sz w:val="21"/>
                <w:szCs w:val="21"/>
              </w:rPr>
              <w:t>支持对防火墙策略命中次数进行统计</w:t>
            </w:r>
          </w:p>
        </w:tc>
      </w:tr>
      <w:tr w14:paraId="5D50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682CCB7E">
            <w:pPr>
              <w:widowControl/>
              <w:jc w:val="left"/>
              <w:rPr>
                <w:rFonts w:hint="eastAsia" w:ascii="宋体" w:hAnsi="宋体" w:cs="宋体"/>
                <w:kern w:val="0"/>
                <w:sz w:val="21"/>
                <w:szCs w:val="21"/>
              </w:rPr>
            </w:pPr>
          </w:p>
        </w:tc>
        <w:tc>
          <w:tcPr>
            <w:tcW w:w="780" w:type="dxa"/>
            <w:vMerge w:val="continue"/>
            <w:vAlign w:val="center"/>
          </w:tcPr>
          <w:p w14:paraId="19879657">
            <w:pPr>
              <w:widowControl/>
              <w:jc w:val="left"/>
              <w:rPr>
                <w:rFonts w:hint="eastAsia" w:ascii="宋体" w:hAnsi="宋体" w:cs="宋体"/>
                <w:kern w:val="0"/>
                <w:sz w:val="21"/>
                <w:szCs w:val="21"/>
              </w:rPr>
            </w:pPr>
          </w:p>
        </w:tc>
        <w:tc>
          <w:tcPr>
            <w:tcW w:w="1400" w:type="dxa"/>
            <w:vMerge w:val="restart"/>
            <w:shd w:val="clear" w:color="auto" w:fill="auto"/>
            <w:vAlign w:val="center"/>
          </w:tcPr>
          <w:p w14:paraId="019F3ADC">
            <w:pPr>
              <w:widowControl/>
              <w:jc w:val="left"/>
              <w:rPr>
                <w:rFonts w:hint="eastAsia" w:ascii="宋体" w:hAnsi="宋体" w:cs="宋体"/>
                <w:kern w:val="0"/>
                <w:sz w:val="21"/>
                <w:szCs w:val="21"/>
              </w:rPr>
            </w:pPr>
            <w:r>
              <w:rPr>
                <w:rFonts w:hint="eastAsia" w:ascii="宋体" w:hAnsi="宋体" w:cs="宋体"/>
                <w:kern w:val="0"/>
                <w:sz w:val="21"/>
                <w:szCs w:val="21"/>
              </w:rPr>
              <w:t>高可靠性</w:t>
            </w:r>
          </w:p>
        </w:tc>
        <w:tc>
          <w:tcPr>
            <w:tcW w:w="5160" w:type="dxa"/>
            <w:shd w:val="clear" w:color="auto" w:fill="auto"/>
            <w:vAlign w:val="center"/>
          </w:tcPr>
          <w:p w14:paraId="54A1C6B0">
            <w:pPr>
              <w:widowControl/>
              <w:jc w:val="left"/>
              <w:rPr>
                <w:rFonts w:hint="eastAsia" w:ascii="宋体" w:hAnsi="宋体" w:cs="宋体"/>
                <w:kern w:val="0"/>
                <w:sz w:val="21"/>
                <w:szCs w:val="21"/>
              </w:rPr>
            </w:pPr>
            <w:r>
              <w:rPr>
                <w:rFonts w:hint="eastAsia" w:ascii="宋体" w:hAnsi="宋体" w:cs="宋体"/>
                <w:kern w:val="0"/>
                <w:sz w:val="21"/>
                <w:szCs w:val="21"/>
              </w:rPr>
              <w:t>支持 主主、主备模式部署；支持2组 HA 口，防止单条 HA 线路的单点故障</w:t>
            </w:r>
          </w:p>
        </w:tc>
      </w:tr>
      <w:tr w14:paraId="1BAD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8DBE5DD">
            <w:pPr>
              <w:widowControl/>
              <w:jc w:val="left"/>
              <w:rPr>
                <w:rFonts w:hint="eastAsia" w:ascii="宋体" w:hAnsi="宋体" w:cs="宋体"/>
                <w:kern w:val="0"/>
                <w:sz w:val="21"/>
                <w:szCs w:val="21"/>
              </w:rPr>
            </w:pPr>
          </w:p>
        </w:tc>
        <w:tc>
          <w:tcPr>
            <w:tcW w:w="780" w:type="dxa"/>
            <w:vMerge w:val="continue"/>
            <w:vAlign w:val="center"/>
          </w:tcPr>
          <w:p w14:paraId="570E43F3">
            <w:pPr>
              <w:widowControl/>
              <w:jc w:val="left"/>
              <w:rPr>
                <w:rFonts w:hint="eastAsia" w:ascii="宋体" w:hAnsi="宋体" w:cs="宋体"/>
                <w:kern w:val="0"/>
                <w:sz w:val="21"/>
                <w:szCs w:val="21"/>
              </w:rPr>
            </w:pPr>
          </w:p>
        </w:tc>
        <w:tc>
          <w:tcPr>
            <w:tcW w:w="1400" w:type="dxa"/>
            <w:vMerge w:val="continue"/>
            <w:vAlign w:val="center"/>
          </w:tcPr>
          <w:p w14:paraId="595193FF">
            <w:pPr>
              <w:widowControl/>
              <w:jc w:val="left"/>
              <w:rPr>
                <w:rFonts w:hint="eastAsia" w:ascii="宋体" w:hAnsi="宋体" w:cs="宋体"/>
                <w:kern w:val="0"/>
                <w:sz w:val="21"/>
                <w:szCs w:val="21"/>
              </w:rPr>
            </w:pPr>
          </w:p>
        </w:tc>
        <w:tc>
          <w:tcPr>
            <w:tcW w:w="5160" w:type="dxa"/>
            <w:shd w:val="clear" w:color="auto" w:fill="auto"/>
            <w:vAlign w:val="center"/>
          </w:tcPr>
          <w:p w14:paraId="29A78BDC">
            <w:pPr>
              <w:widowControl/>
              <w:jc w:val="left"/>
              <w:rPr>
                <w:rFonts w:hint="eastAsia" w:ascii="宋体" w:hAnsi="宋体" w:cs="宋体"/>
                <w:kern w:val="0"/>
                <w:sz w:val="21"/>
                <w:szCs w:val="21"/>
              </w:rPr>
            </w:pPr>
            <w:r>
              <w:rPr>
                <w:rFonts w:hint="eastAsia" w:ascii="宋体" w:hAnsi="宋体" w:cs="宋体"/>
                <w:kern w:val="0"/>
                <w:sz w:val="21"/>
                <w:szCs w:val="21"/>
              </w:rPr>
              <w:t>支持基于接口、ICMP等监测对象实现 HA 切换</w:t>
            </w:r>
          </w:p>
        </w:tc>
      </w:tr>
      <w:tr w14:paraId="5EAE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5E5CEFEC">
            <w:pPr>
              <w:widowControl/>
              <w:jc w:val="left"/>
              <w:rPr>
                <w:rFonts w:hint="eastAsia" w:ascii="宋体" w:hAnsi="宋体" w:cs="宋体"/>
                <w:kern w:val="0"/>
                <w:sz w:val="21"/>
                <w:szCs w:val="21"/>
              </w:rPr>
            </w:pPr>
          </w:p>
        </w:tc>
        <w:tc>
          <w:tcPr>
            <w:tcW w:w="780" w:type="dxa"/>
            <w:vMerge w:val="continue"/>
            <w:vAlign w:val="center"/>
          </w:tcPr>
          <w:p w14:paraId="2E6D1823">
            <w:pPr>
              <w:widowControl/>
              <w:jc w:val="left"/>
              <w:rPr>
                <w:rFonts w:hint="eastAsia" w:ascii="宋体" w:hAnsi="宋体" w:cs="宋体"/>
                <w:kern w:val="0"/>
                <w:sz w:val="21"/>
                <w:szCs w:val="21"/>
              </w:rPr>
            </w:pPr>
          </w:p>
        </w:tc>
        <w:tc>
          <w:tcPr>
            <w:tcW w:w="1400" w:type="dxa"/>
            <w:vMerge w:val="continue"/>
            <w:vAlign w:val="center"/>
          </w:tcPr>
          <w:p w14:paraId="2A43C3AB">
            <w:pPr>
              <w:widowControl/>
              <w:jc w:val="left"/>
              <w:rPr>
                <w:rFonts w:hint="eastAsia" w:ascii="宋体" w:hAnsi="宋体" w:cs="宋体"/>
                <w:kern w:val="0"/>
                <w:sz w:val="21"/>
                <w:szCs w:val="21"/>
              </w:rPr>
            </w:pPr>
          </w:p>
        </w:tc>
        <w:tc>
          <w:tcPr>
            <w:tcW w:w="5160" w:type="dxa"/>
            <w:shd w:val="clear" w:color="auto" w:fill="auto"/>
            <w:vAlign w:val="center"/>
          </w:tcPr>
          <w:p w14:paraId="04B63F81">
            <w:pPr>
              <w:widowControl/>
              <w:jc w:val="left"/>
              <w:rPr>
                <w:rFonts w:hint="eastAsia" w:ascii="宋体" w:hAnsi="宋体" w:cs="宋体"/>
                <w:kern w:val="0"/>
                <w:sz w:val="21"/>
                <w:szCs w:val="21"/>
              </w:rPr>
            </w:pPr>
            <w:r>
              <w:rPr>
                <w:rFonts w:hint="eastAsia" w:ascii="宋体" w:hAnsi="宋体" w:cs="宋体"/>
                <w:kern w:val="0"/>
                <w:sz w:val="21"/>
                <w:szCs w:val="21"/>
              </w:rPr>
              <w:t>支持自动定时对主备配置进行差异化检测，如有配置差异，以syslog方式弹出告警信息，提供产品有效配置截图；</w:t>
            </w:r>
          </w:p>
        </w:tc>
      </w:tr>
      <w:tr w14:paraId="439A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A335B7F">
            <w:pPr>
              <w:widowControl/>
              <w:jc w:val="left"/>
              <w:rPr>
                <w:rFonts w:hint="eastAsia" w:ascii="宋体" w:hAnsi="宋体" w:cs="宋体"/>
                <w:kern w:val="0"/>
                <w:sz w:val="21"/>
                <w:szCs w:val="21"/>
              </w:rPr>
            </w:pPr>
          </w:p>
        </w:tc>
        <w:tc>
          <w:tcPr>
            <w:tcW w:w="780" w:type="dxa"/>
            <w:vMerge w:val="continue"/>
            <w:vAlign w:val="center"/>
          </w:tcPr>
          <w:p w14:paraId="1F4A012A">
            <w:pPr>
              <w:widowControl/>
              <w:jc w:val="left"/>
              <w:rPr>
                <w:rFonts w:hint="eastAsia" w:ascii="宋体" w:hAnsi="宋体" w:cs="宋体"/>
                <w:kern w:val="0"/>
                <w:sz w:val="21"/>
                <w:szCs w:val="21"/>
              </w:rPr>
            </w:pPr>
          </w:p>
        </w:tc>
        <w:tc>
          <w:tcPr>
            <w:tcW w:w="1400" w:type="dxa"/>
            <w:shd w:val="clear" w:color="auto" w:fill="auto"/>
            <w:vAlign w:val="center"/>
          </w:tcPr>
          <w:p w14:paraId="751B5CA1">
            <w:pPr>
              <w:widowControl/>
              <w:jc w:val="left"/>
              <w:rPr>
                <w:rFonts w:hint="eastAsia" w:ascii="宋体" w:hAnsi="宋体" w:cs="宋体"/>
                <w:kern w:val="0"/>
                <w:sz w:val="21"/>
                <w:szCs w:val="21"/>
              </w:rPr>
            </w:pPr>
            <w:r>
              <w:rPr>
                <w:rFonts w:hint="eastAsia" w:ascii="宋体" w:hAnsi="宋体" w:cs="宋体"/>
                <w:kern w:val="0"/>
                <w:sz w:val="21"/>
                <w:szCs w:val="21"/>
              </w:rPr>
              <w:t>NAT功能</w:t>
            </w:r>
          </w:p>
        </w:tc>
        <w:tc>
          <w:tcPr>
            <w:tcW w:w="5160" w:type="dxa"/>
            <w:shd w:val="clear" w:color="auto" w:fill="auto"/>
            <w:vAlign w:val="center"/>
          </w:tcPr>
          <w:p w14:paraId="35BD8B6B">
            <w:pPr>
              <w:widowControl/>
              <w:jc w:val="left"/>
              <w:rPr>
                <w:rFonts w:hint="eastAsia" w:ascii="宋体" w:hAnsi="宋体" w:cs="宋体"/>
                <w:kern w:val="0"/>
                <w:sz w:val="21"/>
                <w:szCs w:val="21"/>
              </w:rPr>
            </w:pPr>
            <w:r>
              <w:rPr>
                <w:rFonts w:hint="eastAsia" w:ascii="宋体" w:hAnsi="宋体" w:cs="宋体"/>
                <w:kern w:val="0"/>
                <w:sz w:val="21"/>
                <w:szCs w:val="21"/>
              </w:rPr>
              <w:t>支持源地址转换，目的地址转换，双向地址转换；</w:t>
            </w:r>
          </w:p>
        </w:tc>
      </w:tr>
      <w:tr w14:paraId="7606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12EE6873">
            <w:pPr>
              <w:widowControl/>
              <w:jc w:val="left"/>
              <w:rPr>
                <w:rFonts w:hint="eastAsia" w:ascii="宋体" w:hAnsi="宋体" w:cs="宋体"/>
                <w:kern w:val="0"/>
                <w:sz w:val="21"/>
                <w:szCs w:val="21"/>
              </w:rPr>
            </w:pPr>
          </w:p>
        </w:tc>
        <w:tc>
          <w:tcPr>
            <w:tcW w:w="780" w:type="dxa"/>
            <w:vMerge w:val="continue"/>
            <w:vAlign w:val="center"/>
          </w:tcPr>
          <w:p w14:paraId="5F29C364">
            <w:pPr>
              <w:widowControl/>
              <w:jc w:val="left"/>
              <w:rPr>
                <w:rFonts w:hint="eastAsia" w:ascii="宋体" w:hAnsi="宋体" w:cs="宋体"/>
                <w:kern w:val="0"/>
                <w:sz w:val="21"/>
                <w:szCs w:val="21"/>
              </w:rPr>
            </w:pPr>
          </w:p>
        </w:tc>
        <w:tc>
          <w:tcPr>
            <w:tcW w:w="1400" w:type="dxa"/>
            <w:vMerge w:val="restart"/>
            <w:shd w:val="clear" w:color="auto" w:fill="auto"/>
            <w:vAlign w:val="center"/>
          </w:tcPr>
          <w:p w14:paraId="6039B555">
            <w:pPr>
              <w:widowControl/>
              <w:jc w:val="left"/>
              <w:rPr>
                <w:rFonts w:hint="eastAsia" w:ascii="宋体" w:hAnsi="宋体" w:cs="宋体"/>
                <w:kern w:val="0"/>
                <w:sz w:val="21"/>
                <w:szCs w:val="21"/>
              </w:rPr>
            </w:pPr>
            <w:r>
              <w:rPr>
                <w:rFonts w:hint="eastAsia" w:ascii="宋体" w:hAnsi="宋体" w:cs="宋体"/>
                <w:kern w:val="0"/>
                <w:sz w:val="21"/>
                <w:szCs w:val="21"/>
              </w:rPr>
              <w:t>运维管理</w:t>
            </w:r>
          </w:p>
        </w:tc>
        <w:tc>
          <w:tcPr>
            <w:tcW w:w="5160" w:type="dxa"/>
            <w:shd w:val="clear" w:color="auto" w:fill="auto"/>
            <w:vAlign w:val="center"/>
          </w:tcPr>
          <w:p w14:paraId="20EE6E33">
            <w:pPr>
              <w:widowControl/>
              <w:jc w:val="left"/>
              <w:rPr>
                <w:rFonts w:hint="eastAsia" w:ascii="宋体" w:hAnsi="宋体" w:cs="宋体"/>
                <w:kern w:val="0"/>
                <w:sz w:val="21"/>
                <w:szCs w:val="21"/>
              </w:rPr>
            </w:pPr>
            <w:r>
              <w:rPr>
                <w:rFonts w:hint="eastAsia" w:ascii="宋体" w:hAnsi="宋体" w:cs="宋体"/>
                <w:kern w:val="0"/>
                <w:sz w:val="21"/>
                <w:szCs w:val="21"/>
              </w:rPr>
              <w:t>支持多种方式的管理界面，包括WEBUI、CONSOLE、SSHv2、TELNET等；</w:t>
            </w:r>
          </w:p>
        </w:tc>
      </w:tr>
      <w:tr w14:paraId="6ADD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C865B8A">
            <w:pPr>
              <w:widowControl/>
              <w:jc w:val="left"/>
              <w:rPr>
                <w:rFonts w:hint="eastAsia" w:ascii="宋体" w:hAnsi="宋体" w:cs="宋体"/>
                <w:kern w:val="0"/>
                <w:sz w:val="21"/>
                <w:szCs w:val="21"/>
              </w:rPr>
            </w:pPr>
          </w:p>
        </w:tc>
        <w:tc>
          <w:tcPr>
            <w:tcW w:w="780" w:type="dxa"/>
            <w:vMerge w:val="continue"/>
            <w:vAlign w:val="center"/>
          </w:tcPr>
          <w:p w14:paraId="7972AF18">
            <w:pPr>
              <w:widowControl/>
              <w:jc w:val="left"/>
              <w:rPr>
                <w:rFonts w:hint="eastAsia" w:ascii="宋体" w:hAnsi="宋体" w:cs="宋体"/>
                <w:kern w:val="0"/>
                <w:sz w:val="21"/>
                <w:szCs w:val="21"/>
              </w:rPr>
            </w:pPr>
          </w:p>
        </w:tc>
        <w:tc>
          <w:tcPr>
            <w:tcW w:w="1400" w:type="dxa"/>
            <w:vMerge w:val="continue"/>
            <w:vAlign w:val="center"/>
          </w:tcPr>
          <w:p w14:paraId="3FB43690">
            <w:pPr>
              <w:widowControl/>
              <w:jc w:val="left"/>
              <w:rPr>
                <w:rFonts w:hint="eastAsia" w:ascii="宋体" w:hAnsi="宋体" w:cs="宋体"/>
                <w:kern w:val="0"/>
                <w:sz w:val="21"/>
                <w:szCs w:val="21"/>
              </w:rPr>
            </w:pPr>
          </w:p>
        </w:tc>
        <w:tc>
          <w:tcPr>
            <w:tcW w:w="5160" w:type="dxa"/>
            <w:shd w:val="clear" w:color="auto" w:fill="auto"/>
            <w:vAlign w:val="center"/>
          </w:tcPr>
          <w:p w14:paraId="7F9DFC1D">
            <w:pPr>
              <w:widowControl/>
              <w:jc w:val="left"/>
              <w:rPr>
                <w:rFonts w:hint="eastAsia" w:ascii="宋体" w:hAnsi="宋体" w:cs="宋体"/>
                <w:kern w:val="0"/>
                <w:sz w:val="21"/>
                <w:szCs w:val="21"/>
              </w:rPr>
            </w:pPr>
            <w:r>
              <w:rPr>
                <w:rFonts w:hint="eastAsia" w:ascii="宋体" w:hAnsi="宋体" w:cs="宋体"/>
                <w:kern w:val="0"/>
                <w:sz w:val="21"/>
                <w:szCs w:val="21"/>
              </w:rPr>
              <w:t>支持防火墙策略复制功能</w:t>
            </w:r>
          </w:p>
        </w:tc>
      </w:tr>
      <w:tr w14:paraId="1058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5D215DE4">
            <w:pPr>
              <w:widowControl/>
              <w:jc w:val="left"/>
              <w:rPr>
                <w:rFonts w:hint="eastAsia" w:ascii="宋体" w:hAnsi="宋体" w:cs="宋体"/>
                <w:kern w:val="0"/>
                <w:sz w:val="21"/>
                <w:szCs w:val="21"/>
              </w:rPr>
            </w:pPr>
          </w:p>
        </w:tc>
        <w:tc>
          <w:tcPr>
            <w:tcW w:w="780" w:type="dxa"/>
            <w:vMerge w:val="continue"/>
            <w:vAlign w:val="center"/>
          </w:tcPr>
          <w:p w14:paraId="641BE50B">
            <w:pPr>
              <w:widowControl/>
              <w:jc w:val="left"/>
              <w:rPr>
                <w:rFonts w:hint="eastAsia" w:ascii="宋体" w:hAnsi="宋体" w:cs="宋体"/>
                <w:kern w:val="0"/>
                <w:sz w:val="21"/>
                <w:szCs w:val="21"/>
              </w:rPr>
            </w:pPr>
          </w:p>
        </w:tc>
        <w:tc>
          <w:tcPr>
            <w:tcW w:w="1400" w:type="dxa"/>
            <w:vMerge w:val="continue"/>
            <w:vAlign w:val="center"/>
          </w:tcPr>
          <w:p w14:paraId="1D2EC272">
            <w:pPr>
              <w:widowControl/>
              <w:jc w:val="left"/>
              <w:rPr>
                <w:rFonts w:hint="eastAsia" w:ascii="宋体" w:hAnsi="宋体" w:cs="宋体"/>
                <w:kern w:val="0"/>
                <w:sz w:val="21"/>
                <w:szCs w:val="21"/>
              </w:rPr>
            </w:pPr>
          </w:p>
        </w:tc>
        <w:tc>
          <w:tcPr>
            <w:tcW w:w="5160" w:type="dxa"/>
            <w:shd w:val="clear" w:color="auto" w:fill="auto"/>
            <w:vAlign w:val="center"/>
          </w:tcPr>
          <w:p w14:paraId="25E65506">
            <w:pPr>
              <w:widowControl/>
              <w:jc w:val="left"/>
              <w:rPr>
                <w:rFonts w:hint="eastAsia" w:ascii="宋体" w:hAnsi="宋体" w:cs="宋体"/>
                <w:kern w:val="0"/>
                <w:sz w:val="21"/>
                <w:szCs w:val="21"/>
              </w:rPr>
            </w:pPr>
            <w:r>
              <w:rPr>
                <w:rFonts w:hint="eastAsia" w:ascii="宋体" w:hAnsi="宋体" w:cs="宋体"/>
                <w:kern w:val="0"/>
                <w:sz w:val="21"/>
                <w:szCs w:val="21"/>
              </w:rPr>
              <w:t>支持在线抓包功能，支持5元组、应用等信息设置抓包过滤条件和抓包时长，同时支持查看当前抓包大小和抓包数量，提供产品有效配置截图；</w:t>
            </w:r>
          </w:p>
        </w:tc>
      </w:tr>
      <w:tr w14:paraId="3FBA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1AD7F6E">
            <w:pPr>
              <w:widowControl/>
              <w:jc w:val="left"/>
              <w:rPr>
                <w:rFonts w:hint="eastAsia" w:ascii="宋体" w:hAnsi="宋体" w:cs="宋体"/>
                <w:kern w:val="0"/>
                <w:sz w:val="21"/>
                <w:szCs w:val="21"/>
              </w:rPr>
            </w:pPr>
          </w:p>
        </w:tc>
        <w:tc>
          <w:tcPr>
            <w:tcW w:w="780" w:type="dxa"/>
            <w:vMerge w:val="continue"/>
            <w:vAlign w:val="center"/>
          </w:tcPr>
          <w:p w14:paraId="67FE7B1F">
            <w:pPr>
              <w:widowControl/>
              <w:jc w:val="left"/>
              <w:rPr>
                <w:rFonts w:hint="eastAsia" w:ascii="宋体" w:hAnsi="宋体" w:cs="宋体"/>
                <w:kern w:val="0"/>
                <w:sz w:val="21"/>
                <w:szCs w:val="21"/>
              </w:rPr>
            </w:pPr>
          </w:p>
        </w:tc>
        <w:tc>
          <w:tcPr>
            <w:tcW w:w="1400" w:type="dxa"/>
            <w:shd w:val="clear" w:color="auto" w:fill="auto"/>
            <w:vAlign w:val="center"/>
          </w:tcPr>
          <w:p w14:paraId="28C63E23">
            <w:pPr>
              <w:widowControl/>
              <w:jc w:val="left"/>
              <w:rPr>
                <w:rFonts w:hint="eastAsia" w:ascii="宋体" w:hAnsi="宋体" w:cs="宋体"/>
                <w:kern w:val="0"/>
                <w:sz w:val="21"/>
                <w:szCs w:val="21"/>
              </w:rPr>
            </w:pPr>
            <w:r>
              <w:rPr>
                <w:rFonts w:hint="eastAsia" w:ascii="宋体" w:hAnsi="宋体" w:cs="宋体"/>
                <w:kern w:val="0"/>
                <w:sz w:val="21"/>
                <w:szCs w:val="21"/>
              </w:rPr>
              <w:t>虚拟化技术</w:t>
            </w:r>
          </w:p>
        </w:tc>
        <w:tc>
          <w:tcPr>
            <w:tcW w:w="5160" w:type="dxa"/>
            <w:shd w:val="clear" w:color="auto" w:fill="auto"/>
            <w:vAlign w:val="center"/>
          </w:tcPr>
          <w:p w14:paraId="584A9171">
            <w:pPr>
              <w:widowControl/>
              <w:jc w:val="left"/>
              <w:rPr>
                <w:rFonts w:hint="eastAsia" w:ascii="宋体" w:hAnsi="宋体" w:cs="宋体"/>
                <w:kern w:val="0"/>
                <w:sz w:val="21"/>
                <w:szCs w:val="21"/>
              </w:rPr>
            </w:pPr>
            <w:r>
              <w:rPr>
                <w:rFonts w:hint="eastAsia" w:ascii="宋体" w:hAnsi="宋体" w:cs="宋体"/>
                <w:kern w:val="0"/>
                <w:sz w:val="21"/>
                <w:szCs w:val="21"/>
              </w:rPr>
              <w:t>支持一虚多防火墙功能，支持虚拟路由器VRF功能</w:t>
            </w:r>
          </w:p>
        </w:tc>
      </w:tr>
    </w:tbl>
    <w:p w14:paraId="6F497D7F">
      <w:pPr>
        <w:pStyle w:val="2"/>
        <w:ind w:left="0" w:leftChars="0" w:firstLine="0" w:firstLineChars="0"/>
      </w:pPr>
    </w:p>
    <w:p w14:paraId="716070E3">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3.4.9报盘外联路由器共5台</w:t>
      </w:r>
    </w:p>
    <w:tbl>
      <w:tblPr>
        <w:tblStyle w:val="19"/>
        <w:tblW w:w="84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360"/>
        <w:gridCol w:w="5200"/>
      </w:tblGrid>
      <w:tr w14:paraId="1E8A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20" w:type="dxa"/>
            <w:shd w:val="clear" w:color="auto" w:fill="auto"/>
            <w:vAlign w:val="bottom"/>
          </w:tcPr>
          <w:p w14:paraId="1BD7A921">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项目名称</w:t>
            </w:r>
          </w:p>
        </w:tc>
        <w:tc>
          <w:tcPr>
            <w:tcW w:w="1040" w:type="dxa"/>
            <w:shd w:val="clear" w:color="auto" w:fill="auto"/>
            <w:vAlign w:val="center"/>
          </w:tcPr>
          <w:p w14:paraId="3B8029C9">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类别</w:t>
            </w:r>
          </w:p>
        </w:tc>
        <w:tc>
          <w:tcPr>
            <w:tcW w:w="1360" w:type="dxa"/>
            <w:shd w:val="clear" w:color="auto" w:fill="auto"/>
            <w:vAlign w:val="center"/>
          </w:tcPr>
          <w:p w14:paraId="3ECFD2D8">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要求项</w:t>
            </w:r>
          </w:p>
        </w:tc>
        <w:tc>
          <w:tcPr>
            <w:tcW w:w="5200" w:type="dxa"/>
            <w:shd w:val="clear" w:color="auto" w:fill="auto"/>
            <w:vAlign w:val="center"/>
          </w:tcPr>
          <w:p w14:paraId="45D8859B">
            <w:pPr>
              <w:widowControl/>
              <w:jc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要求明细</w:t>
            </w:r>
          </w:p>
        </w:tc>
      </w:tr>
      <w:tr w14:paraId="3673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3D126317">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IDC网络设备升级项目二期</w:t>
            </w:r>
          </w:p>
        </w:tc>
        <w:tc>
          <w:tcPr>
            <w:tcW w:w="1040" w:type="dxa"/>
            <w:vMerge w:val="restart"/>
            <w:shd w:val="clear" w:color="auto" w:fill="auto"/>
            <w:vAlign w:val="center"/>
          </w:tcPr>
          <w:p w14:paraId="05704812">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★基础要求</w:t>
            </w:r>
          </w:p>
        </w:tc>
        <w:tc>
          <w:tcPr>
            <w:tcW w:w="1360" w:type="dxa"/>
            <w:shd w:val="clear" w:color="auto" w:fill="auto"/>
            <w:vAlign w:val="center"/>
          </w:tcPr>
          <w:p w14:paraId="3F897E6E">
            <w:pPr>
              <w:widowControl/>
              <w:jc w:val="left"/>
              <w:rPr>
                <w:rFonts w:hint="eastAsia" w:ascii="宋体" w:hAnsi="宋体" w:cs="宋体"/>
                <w:kern w:val="0"/>
                <w:sz w:val="21"/>
                <w:szCs w:val="21"/>
              </w:rPr>
            </w:pPr>
            <w:r>
              <w:rPr>
                <w:rFonts w:hint="eastAsia" w:ascii="宋体" w:hAnsi="宋体" w:cs="宋体"/>
                <w:kern w:val="0"/>
                <w:sz w:val="21"/>
                <w:szCs w:val="21"/>
              </w:rPr>
              <w:t>信创要求</w:t>
            </w:r>
          </w:p>
        </w:tc>
        <w:tc>
          <w:tcPr>
            <w:tcW w:w="5200" w:type="dxa"/>
            <w:shd w:val="clear" w:color="000000" w:fill="FFFFFF"/>
            <w:vAlign w:val="bottom"/>
          </w:tcPr>
          <w:p w14:paraId="18C41C07">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2C4F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1A1AF781">
            <w:pPr>
              <w:widowControl/>
              <w:jc w:val="left"/>
              <w:rPr>
                <w:rFonts w:hint="eastAsia" w:ascii="宋体" w:hAnsi="宋体" w:cs="宋体"/>
                <w:color w:val="000000"/>
                <w:kern w:val="0"/>
                <w:sz w:val="21"/>
                <w:szCs w:val="21"/>
              </w:rPr>
            </w:pPr>
          </w:p>
        </w:tc>
        <w:tc>
          <w:tcPr>
            <w:tcW w:w="1040" w:type="dxa"/>
            <w:vMerge w:val="continue"/>
            <w:vAlign w:val="center"/>
          </w:tcPr>
          <w:p w14:paraId="1795DF37">
            <w:pPr>
              <w:widowControl/>
              <w:jc w:val="left"/>
              <w:rPr>
                <w:rFonts w:hint="eastAsia" w:ascii="宋体" w:hAnsi="宋体" w:cs="宋体"/>
                <w:color w:val="000000"/>
                <w:kern w:val="0"/>
                <w:sz w:val="21"/>
                <w:szCs w:val="21"/>
              </w:rPr>
            </w:pPr>
          </w:p>
        </w:tc>
        <w:tc>
          <w:tcPr>
            <w:tcW w:w="1360" w:type="dxa"/>
            <w:shd w:val="clear" w:color="auto" w:fill="auto"/>
            <w:vAlign w:val="center"/>
          </w:tcPr>
          <w:p w14:paraId="6BA1022A">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案例要求</w:t>
            </w:r>
          </w:p>
        </w:tc>
        <w:tc>
          <w:tcPr>
            <w:tcW w:w="5200" w:type="dxa"/>
            <w:shd w:val="clear" w:color="auto" w:fill="auto"/>
            <w:vAlign w:val="center"/>
          </w:tcPr>
          <w:p w14:paraId="1ADD0683">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应标型号要求有在证券行业应用的案例（提供证明材料）</w:t>
            </w:r>
          </w:p>
        </w:tc>
      </w:tr>
      <w:tr w14:paraId="4521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34C9EDE">
            <w:pPr>
              <w:widowControl/>
              <w:jc w:val="left"/>
              <w:rPr>
                <w:rFonts w:hint="eastAsia" w:ascii="宋体" w:hAnsi="宋体" w:cs="宋体"/>
                <w:color w:val="000000"/>
                <w:kern w:val="0"/>
                <w:sz w:val="21"/>
                <w:szCs w:val="21"/>
              </w:rPr>
            </w:pPr>
          </w:p>
        </w:tc>
        <w:tc>
          <w:tcPr>
            <w:tcW w:w="1040" w:type="dxa"/>
            <w:vMerge w:val="continue"/>
            <w:vAlign w:val="center"/>
          </w:tcPr>
          <w:p w14:paraId="2D7753A3">
            <w:pPr>
              <w:widowControl/>
              <w:jc w:val="left"/>
              <w:rPr>
                <w:rFonts w:hint="eastAsia" w:ascii="宋体" w:hAnsi="宋体" w:cs="宋体"/>
                <w:color w:val="000000"/>
                <w:kern w:val="0"/>
                <w:sz w:val="21"/>
                <w:szCs w:val="21"/>
              </w:rPr>
            </w:pPr>
          </w:p>
        </w:tc>
        <w:tc>
          <w:tcPr>
            <w:tcW w:w="1360" w:type="dxa"/>
            <w:shd w:val="clear" w:color="auto" w:fill="auto"/>
            <w:vAlign w:val="center"/>
          </w:tcPr>
          <w:p w14:paraId="55D05567">
            <w:pPr>
              <w:widowControl/>
              <w:jc w:val="left"/>
              <w:rPr>
                <w:rFonts w:hint="eastAsia" w:ascii="宋体" w:hAnsi="宋体" w:cs="宋体"/>
                <w:kern w:val="0"/>
                <w:sz w:val="21"/>
                <w:szCs w:val="21"/>
              </w:rPr>
            </w:pPr>
            <w:r>
              <w:rPr>
                <w:rFonts w:hint="eastAsia" w:ascii="宋体" w:hAnsi="宋体" w:cs="宋体"/>
                <w:kern w:val="0"/>
                <w:sz w:val="21"/>
                <w:szCs w:val="21"/>
              </w:rPr>
              <w:t>排名要求</w:t>
            </w:r>
          </w:p>
        </w:tc>
        <w:tc>
          <w:tcPr>
            <w:tcW w:w="5200" w:type="dxa"/>
            <w:shd w:val="clear" w:color="auto" w:fill="auto"/>
            <w:vAlign w:val="center"/>
          </w:tcPr>
          <w:p w14:paraId="3469424F">
            <w:pPr>
              <w:widowControl/>
              <w:jc w:val="left"/>
              <w:rPr>
                <w:rFonts w:hint="eastAsia" w:ascii="宋体" w:hAnsi="宋体" w:cs="宋体"/>
                <w:kern w:val="0"/>
                <w:sz w:val="21"/>
                <w:szCs w:val="21"/>
              </w:rPr>
            </w:pPr>
            <w:r>
              <w:rPr>
                <w:rFonts w:hint="eastAsia" w:ascii="宋体" w:hAnsi="宋体" w:cs="宋体"/>
                <w:kern w:val="0"/>
                <w:sz w:val="21"/>
                <w:szCs w:val="21"/>
              </w:rPr>
              <w:t>近三年中国区路由器市场份额排名前三（提供第三方权威机构给出的IDC报告证明）</w:t>
            </w:r>
          </w:p>
        </w:tc>
      </w:tr>
      <w:tr w14:paraId="1DBC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38223B99">
            <w:pPr>
              <w:widowControl/>
              <w:jc w:val="left"/>
              <w:rPr>
                <w:rFonts w:hint="eastAsia" w:ascii="宋体" w:hAnsi="宋体" w:cs="宋体"/>
                <w:color w:val="000000"/>
                <w:kern w:val="0"/>
                <w:sz w:val="21"/>
                <w:szCs w:val="21"/>
              </w:rPr>
            </w:pPr>
          </w:p>
        </w:tc>
        <w:tc>
          <w:tcPr>
            <w:tcW w:w="1040" w:type="dxa"/>
            <w:vMerge w:val="continue"/>
            <w:vAlign w:val="center"/>
          </w:tcPr>
          <w:p w14:paraId="14552FFB">
            <w:pPr>
              <w:widowControl/>
              <w:jc w:val="left"/>
              <w:rPr>
                <w:rFonts w:hint="eastAsia" w:ascii="宋体" w:hAnsi="宋体" w:cs="宋体"/>
                <w:color w:val="000000"/>
                <w:kern w:val="0"/>
                <w:sz w:val="21"/>
                <w:szCs w:val="21"/>
              </w:rPr>
            </w:pPr>
          </w:p>
        </w:tc>
        <w:tc>
          <w:tcPr>
            <w:tcW w:w="1360" w:type="dxa"/>
            <w:shd w:val="clear" w:color="auto" w:fill="auto"/>
            <w:vAlign w:val="center"/>
          </w:tcPr>
          <w:p w14:paraId="231E6A08">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基础功能</w:t>
            </w:r>
          </w:p>
        </w:tc>
        <w:tc>
          <w:tcPr>
            <w:tcW w:w="5200" w:type="dxa"/>
            <w:shd w:val="clear" w:color="auto" w:fill="auto"/>
            <w:vAlign w:val="center"/>
          </w:tcPr>
          <w:p w14:paraId="60D6711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DHCP server/client/relay，PPPoE server/client，NAT，子接口管理</w:t>
            </w:r>
          </w:p>
        </w:tc>
      </w:tr>
      <w:tr w14:paraId="6DE3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C42D722">
            <w:pPr>
              <w:widowControl/>
              <w:jc w:val="left"/>
              <w:rPr>
                <w:rFonts w:hint="eastAsia" w:ascii="宋体" w:hAnsi="宋体" w:cs="宋体"/>
                <w:color w:val="000000"/>
                <w:kern w:val="0"/>
                <w:sz w:val="21"/>
                <w:szCs w:val="21"/>
              </w:rPr>
            </w:pPr>
          </w:p>
        </w:tc>
        <w:tc>
          <w:tcPr>
            <w:tcW w:w="1040" w:type="dxa"/>
            <w:vMerge w:val="continue"/>
            <w:vAlign w:val="center"/>
          </w:tcPr>
          <w:p w14:paraId="5B442D09">
            <w:pPr>
              <w:widowControl/>
              <w:jc w:val="left"/>
              <w:rPr>
                <w:rFonts w:hint="eastAsia" w:ascii="宋体" w:hAnsi="宋体" w:cs="宋体"/>
                <w:color w:val="000000"/>
                <w:kern w:val="0"/>
                <w:sz w:val="21"/>
                <w:szCs w:val="21"/>
              </w:rPr>
            </w:pPr>
          </w:p>
        </w:tc>
        <w:tc>
          <w:tcPr>
            <w:tcW w:w="1360" w:type="dxa"/>
            <w:shd w:val="clear" w:color="auto" w:fill="auto"/>
            <w:vAlign w:val="center"/>
          </w:tcPr>
          <w:p w14:paraId="61808B8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IPv4 单播路由</w:t>
            </w:r>
          </w:p>
        </w:tc>
        <w:tc>
          <w:tcPr>
            <w:tcW w:w="5200" w:type="dxa"/>
            <w:shd w:val="clear" w:color="auto" w:fill="auto"/>
            <w:vAlign w:val="center"/>
          </w:tcPr>
          <w:p w14:paraId="1B74E0E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路由策略，静态路由，RIP，OSPF，IS-IS，BGP</w:t>
            </w:r>
          </w:p>
        </w:tc>
      </w:tr>
      <w:tr w14:paraId="3640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5BD75686">
            <w:pPr>
              <w:widowControl/>
              <w:jc w:val="left"/>
              <w:rPr>
                <w:rFonts w:hint="eastAsia" w:ascii="宋体" w:hAnsi="宋体" w:cs="宋体"/>
                <w:color w:val="000000"/>
                <w:kern w:val="0"/>
                <w:sz w:val="21"/>
                <w:szCs w:val="21"/>
              </w:rPr>
            </w:pPr>
          </w:p>
        </w:tc>
        <w:tc>
          <w:tcPr>
            <w:tcW w:w="1040" w:type="dxa"/>
            <w:vMerge w:val="continue"/>
            <w:vAlign w:val="center"/>
          </w:tcPr>
          <w:p w14:paraId="6F1F3A9A">
            <w:pPr>
              <w:widowControl/>
              <w:jc w:val="left"/>
              <w:rPr>
                <w:rFonts w:hint="eastAsia" w:ascii="宋体" w:hAnsi="宋体" w:cs="宋体"/>
                <w:color w:val="000000"/>
                <w:kern w:val="0"/>
                <w:sz w:val="21"/>
                <w:szCs w:val="21"/>
              </w:rPr>
            </w:pPr>
          </w:p>
        </w:tc>
        <w:tc>
          <w:tcPr>
            <w:tcW w:w="1360" w:type="dxa"/>
            <w:shd w:val="clear" w:color="auto" w:fill="auto"/>
            <w:vAlign w:val="center"/>
          </w:tcPr>
          <w:p w14:paraId="1C1823AD">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性能参数</w:t>
            </w:r>
          </w:p>
        </w:tc>
        <w:tc>
          <w:tcPr>
            <w:tcW w:w="5200" w:type="dxa"/>
            <w:shd w:val="clear" w:color="auto" w:fill="auto"/>
            <w:vAlign w:val="center"/>
          </w:tcPr>
          <w:p w14:paraId="651D75E4">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包转发能力≥200Mpps（提供证明材料，如官网截图、产品彩页截图、第三方报告等）</w:t>
            </w:r>
          </w:p>
        </w:tc>
      </w:tr>
      <w:tr w14:paraId="0DD5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697C276E">
            <w:pPr>
              <w:widowControl/>
              <w:jc w:val="left"/>
              <w:rPr>
                <w:rFonts w:hint="eastAsia" w:ascii="宋体" w:hAnsi="宋体" w:cs="宋体"/>
                <w:color w:val="000000"/>
                <w:kern w:val="0"/>
                <w:sz w:val="21"/>
                <w:szCs w:val="21"/>
              </w:rPr>
            </w:pPr>
          </w:p>
        </w:tc>
        <w:tc>
          <w:tcPr>
            <w:tcW w:w="1040" w:type="dxa"/>
            <w:vMerge w:val="continue"/>
            <w:vAlign w:val="center"/>
          </w:tcPr>
          <w:p w14:paraId="5B019AF3">
            <w:pPr>
              <w:widowControl/>
              <w:jc w:val="left"/>
              <w:rPr>
                <w:rFonts w:hint="eastAsia" w:ascii="宋体" w:hAnsi="宋体" w:cs="宋体"/>
                <w:color w:val="000000"/>
                <w:kern w:val="0"/>
                <w:sz w:val="21"/>
                <w:szCs w:val="21"/>
              </w:rPr>
            </w:pPr>
          </w:p>
        </w:tc>
        <w:tc>
          <w:tcPr>
            <w:tcW w:w="1360" w:type="dxa"/>
            <w:shd w:val="clear" w:color="auto" w:fill="auto"/>
            <w:vAlign w:val="center"/>
          </w:tcPr>
          <w:p w14:paraId="67A23D0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端口要求</w:t>
            </w:r>
          </w:p>
        </w:tc>
        <w:tc>
          <w:tcPr>
            <w:tcW w:w="5200" w:type="dxa"/>
            <w:shd w:val="clear" w:color="auto" w:fill="auto"/>
            <w:vAlign w:val="center"/>
          </w:tcPr>
          <w:p w14:paraId="560B62AC">
            <w:pPr>
              <w:widowControl/>
              <w:jc w:val="left"/>
              <w:rPr>
                <w:rFonts w:hint="eastAsia" w:ascii="宋体" w:hAnsi="宋体" w:cs="宋体"/>
                <w:kern w:val="0"/>
                <w:sz w:val="21"/>
                <w:szCs w:val="21"/>
              </w:rPr>
            </w:pPr>
            <w:r>
              <w:rPr>
                <w:rFonts w:hint="eastAsia" w:ascii="宋体" w:hAnsi="宋体" w:cs="宋体"/>
                <w:kern w:val="0"/>
                <w:sz w:val="21"/>
                <w:szCs w:val="21"/>
              </w:rPr>
              <w:t>万兆光口≥6，千兆电口≥10</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3F94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8C68CD7">
            <w:pPr>
              <w:widowControl/>
              <w:jc w:val="left"/>
              <w:rPr>
                <w:rFonts w:hint="eastAsia" w:ascii="宋体" w:hAnsi="宋体" w:cs="宋体"/>
                <w:color w:val="000000"/>
                <w:kern w:val="0"/>
                <w:sz w:val="21"/>
                <w:szCs w:val="21"/>
              </w:rPr>
            </w:pPr>
          </w:p>
        </w:tc>
        <w:tc>
          <w:tcPr>
            <w:tcW w:w="1040" w:type="dxa"/>
            <w:vMerge w:val="continue"/>
            <w:vAlign w:val="center"/>
          </w:tcPr>
          <w:p w14:paraId="0415F524">
            <w:pPr>
              <w:widowControl/>
              <w:jc w:val="left"/>
              <w:rPr>
                <w:rFonts w:hint="eastAsia" w:ascii="宋体" w:hAnsi="宋体" w:cs="宋体"/>
                <w:color w:val="000000"/>
                <w:kern w:val="0"/>
                <w:sz w:val="21"/>
                <w:szCs w:val="21"/>
              </w:rPr>
            </w:pPr>
          </w:p>
        </w:tc>
        <w:tc>
          <w:tcPr>
            <w:tcW w:w="1360" w:type="dxa"/>
            <w:vMerge w:val="restart"/>
            <w:shd w:val="clear" w:color="auto" w:fill="auto"/>
            <w:vAlign w:val="center"/>
          </w:tcPr>
          <w:p w14:paraId="596A222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硬件规格</w:t>
            </w:r>
          </w:p>
        </w:tc>
        <w:tc>
          <w:tcPr>
            <w:tcW w:w="5200" w:type="dxa"/>
            <w:shd w:val="clear" w:color="auto" w:fill="auto"/>
            <w:vAlign w:val="center"/>
          </w:tcPr>
          <w:p w14:paraId="57ADBF62">
            <w:pPr>
              <w:widowControl/>
              <w:jc w:val="left"/>
              <w:rPr>
                <w:rFonts w:hint="eastAsia" w:ascii="宋体" w:hAnsi="宋体" w:cs="宋体"/>
                <w:kern w:val="0"/>
                <w:sz w:val="21"/>
                <w:szCs w:val="21"/>
              </w:rPr>
            </w:pPr>
            <w:r>
              <w:rPr>
                <w:rFonts w:hint="eastAsia" w:ascii="宋体" w:hAnsi="宋体" w:cs="宋体"/>
                <w:kern w:val="0"/>
                <w:sz w:val="21"/>
                <w:szCs w:val="21"/>
              </w:rPr>
              <w:t>整机高度≤2U</w:t>
            </w:r>
          </w:p>
        </w:tc>
      </w:tr>
      <w:tr w14:paraId="2A91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C88B2B1">
            <w:pPr>
              <w:widowControl/>
              <w:jc w:val="left"/>
              <w:rPr>
                <w:rFonts w:hint="eastAsia" w:ascii="宋体" w:hAnsi="宋体" w:cs="宋体"/>
                <w:color w:val="000000"/>
                <w:kern w:val="0"/>
                <w:sz w:val="21"/>
                <w:szCs w:val="21"/>
              </w:rPr>
            </w:pPr>
          </w:p>
        </w:tc>
        <w:tc>
          <w:tcPr>
            <w:tcW w:w="1040" w:type="dxa"/>
            <w:vMerge w:val="continue"/>
            <w:vAlign w:val="center"/>
          </w:tcPr>
          <w:p w14:paraId="133C0D11">
            <w:pPr>
              <w:widowControl/>
              <w:jc w:val="left"/>
              <w:rPr>
                <w:rFonts w:hint="eastAsia" w:ascii="宋体" w:hAnsi="宋体" w:cs="宋体"/>
                <w:color w:val="000000"/>
                <w:kern w:val="0"/>
                <w:sz w:val="21"/>
                <w:szCs w:val="21"/>
              </w:rPr>
            </w:pPr>
          </w:p>
        </w:tc>
        <w:tc>
          <w:tcPr>
            <w:tcW w:w="1360" w:type="dxa"/>
            <w:vMerge w:val="continue"/>
            <w:vAlign w:val="center"/>
          </w:tcPr>
          <w:p w14:paraId="01CDF3B6">
            <w:pPr>
              <w:widowControl/>
              <w:jc w:val="left"/>
              <w:rPr>
                <w:rFonts w:hint="eastAsia" w:ascii="宋体" w:hAnsi="宋体" w:cs="宋体"/>
                <w:color w:val="000000"/>
                <w:kern w:val="0"/>
                <w:sz w:val="21"/>
                <w:szCs w:val="21"/>
              </w:rPr>
            </w:pPr>
          </w:p>
        </w:tc>
        <w:tc>
          <w:tcPr>
            <w:tcW w:w="5200" w:type="dxa"/>
            <w:shd w:val="clear" w:color="auto" w:fill="auto"/>
            <w:vAlign w:val="center"/>
          </w:tcPr>
          <w:p w14:paraId="550B38E0">
            <w:pPr>
              <w:widowControl/>
              <w:jc w:val="left"/>
              <w:rPr>
                <w:rFonts w:hint="eastAsia" w:ascii="宋体" w:hAnsi="宋体" w:cs="宋体"/>
                <w:kern w:val="0"/>
                <w:sz w:val="21"/>
                <w:szCs w:val="21"/>
              </w:rPr>
            </w:pPr>
            <w:r>
              <w:rPr>
                <w:rFonts w:hint="eastAsia" w:ascii="宋体" w:hAnsi="宋体" w:cs="宋体"/>
                <w:kern w:val="0"/>
                <w:sz w:val="21"/>
                <w:szCs w:val="21"/>
              </w:rPr>
              <w:t>支持电源冗余，电源≥2个，支持热插拔；</w:t>
            </w:r>
          </w:p>
        </w:tc>
      </w:tr>
      <w:tr w14:paraId="3AE8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356DF87C">
            <w:pPr>
              <w:widowControl/>
              <w:jc w:val="left"/>
              <w:rPr>
                <w:rFonts w:hint="eastAsia" w:ascii="宋体" w:hAnsi="宋体" w:cs="宋体"/>
                <w:color w:val="000000"/>
                <w:kern w:val="0"/>
                <w:sz w:val="21"/>
                <w:szCs w:val="21"/>
              </w:rPr>
            </w:pPr>
          </w:p>
        </w:tc>
        <w:tc>
          <w:tcPr>
            <w:tcW w:w="1040" w:type="dxa"/>
            <w:vMerge w:val="continue"/>
            <w:vAlign w:val="center"/>
          </w:tcPr>
          <w:p w14:paraId="56E271FB">
            <w:pPr>
              <w:widowControl/>
              <w:jc w:val="left"/>
              <w:rPr>
                <w:rFonts w:hint="eastAsia" w:ascii="宋体" w:hAnsi="宋体" w:cs="宋体"/>
                <w:color w:val="000000"/>
                <w:kern w:val="0"/>
                <w:sz w:val="21"/>
                <w:szCs w:val="21"/>
              </w:rPr>
            </w:pPr>
          </w:p>
        </w:tc>
        <w:tc>
          <w:tcPr>
            <w:tcW w:w="1360" w:type="dxa"/>
            <w:vMerge w:val="continue"/>
            <w:vAlign w:val="center"/>
          </w:tcPr>
          <w:p w14:paraId="483B8838">
            <w:pPr>
              <w:widowControl/>
              <w:jc w:val="left"/>
              <w:rPr>
                <w:rFonts w:hint="eastAsia" w:ascii="宋体" w:hAnsi="宋体" w:cs="宋体"/>
                <w:color w:val="000000"/>
                <w:kern w:val="0"/>
                <w:sz w:val="21"/>
                <w:szCs w:val="21"/>
              </w:rPr>
            </w:pPr>
          </w:p>
        </w:tc>
        <w:tc>
          <w:tcPr>
            <w:tcW w:w="5200" w:type="dxa"/>
            <w:shd w:val="clear" w:color="auto" w:fill="auto"/>
            <w:vAlign w:val="center"/>
          </w:tcPr>
          <w:p w14:paraId="2EE5A49C">
            <w:pPr>
              <w:widowControl/>
              <w:jc w:val="left"/>
              <w:rPr>
                <w:rFonts w:hint="eastAsia" w:ascii="宋体" w:hAnsi="宋体" w:cs="宋体"/>
                <w:kern w:val="0"/>
                <w:sz w:val="21"/>
                <w:szCs w:val="21"/>
              </w:rPr>
            </w:pPr>
            <w:r>
              <w:rPr>
                <w:rFonts w:hint="eastAsia" w:ascii="宋体" w:hAnsi="宋体" w:cs="宋体"/>
                <w:kern w:val="0"/>
                <w:sz w:val="21"/>
                <w:szCs w:val="21"/>
              </w:rPr>
              <w:t>业务插槽≥4个（主控、风扇、电源、其他扣卡等槽位不及入业务槽位之内）；</w:t>
            </w:r>
          </w:p>
        </w:tc>
      </w:tr>
      <w:tr w14:paraId="08FD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01F0B13">
            <w:pPr>
              <w:widowControl/>
              <w:jc w:val="left"/>
              <w:rPr>
                <w:rFonts w:hint="eastAsia" w:ascii="宋体" w:hAnsi="宋体" w:cs="宋体"/>
                <w:color w:val="000000"/>
                <w:kern w:val="0"/>
                <w:sz w:val="21"/>
                <w:szCs w:val="21"/>
              </w:rPr>
            </w:pPr>
          </w:p>
        </w:tc>
        <w:tc>
          <w:tcPr>
            <w:tcW w:w="1040" w:type="dxa"/>
            <w:vMerge w:val="continue"/>
            <w:vAlign w:val="center"/>
          </w:tcPr>
          <w:p w14:paraId="11F89E43">
            <w:pPr>
              <w:widowControl/>
              <w:jc w:val="left"/>
              <w:rPr>
                <w:rFonts w:hint="eastAsia" w:ascii="宋体" w:hAnsi="宋体" w:cs="宋体"/>
                <w:color w:val="000000"/>
                <w:kern w:val="0"/>
                <w:sz w:val="21"/>
                <w:szCs w:val="21"/>
              </w:rPr>
            </w:pPr>
          </w:p>
        </w:tc>
        <w:tc>
          <w:tcPr>
            <w:tcW w:w="1360" w:type="dxa"/>
            <w:vMerge w:val="continue"/>
            <w:vAlign w:val="center"/>
          </w:tcPr>
          <w:p w14:paraId="09DC3953">
            <w:pPr>
              <w:widowControl/>
              <w:jc w:val="left"/>
              <w:rPr>
                <w:rFonts w:hint="eastAsia" w:ascii="宋体" w:hAnsi="宋体" w:cs="宋体"/>
                <w:color w:val="000000"/>
                <w:kern w:val="0"/>
                <w:sz w:val="21"/>
                <w:szCs w:val="21"/>
              </w:rPr>
            </w:pPr>
          </w:p>
        </w:tc>
        <w:tc>
          <w:tcPr>
            <w:tcW w:w="5200" w:type="dxa"/>
            <w:shd w:val="clear" w:color="auto" w:fill="auto"/>
            <w:vAlign w:val="center"/>
          </w:tcPr>
          <w:p w14:paraId="608FD57B">
            <w:pPr>
              <w:widowControl/>
              <w:jc w:val="left"/>
              <w:rPr>
                <w:rFonts w:hint="eastAsia" w:ascii="宋体" w:hAnsi="宋体" w:cs="宋体"/>
                <w:kern w:val="0"/>
                <w:sz w:val="21"/>
                <w:szCs w:val="21"/>
              </w:rPr>
            </w:pPr>
            <w:r>
              <w:rPr>
                <w:rFonts w:hint="eastAsia" w:ascii="宋体" w:hAnsi="宋体" w:cs="宋体"/>
                <w:kern w:val="0"/>
                <w:sz w:val="21"/>
                <w:szCs w:val="21"/>
              </w:rPr>
              <w:t>支持多核CPU</w:t>
            </w:r>
          </w:p>
        </w:tc>
      </w:tr>
      <w:tr w14:paraId="201F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74620E1">
            <w:pPr>
              <w:widowControl/>
              <w:jc w:val="left"/>
              <w:rPr>
                <w:rFonts w:hint="eastAsia" w:ascii="宋体" w:hAnsi="宋体" w:cs="宋体"/>
                <w:color w:val="000000"/>
                <w:kern w:val="0"/>
                <w:sz w:val="21"/>
                <w:szCs w:val="21"/>
              </w:rPr>
            </w:pPr>
          </w:p>
        </w:tc>
        <w:tc>
          <w:tcPr>
            <w:tcW w:w="1040" w:type="dxa"/>
            <w:vMerge w:val="continue"/>
            <w:vAlign w:val="center"/>
          </w:tcPr>
          <w:p w14:paraId="2868163B">
            <w:pPr>
              <w:widowControl/>
              <w:jc w:val="left"/>
              <w:rPr>
                <w:rFonts w:hint="eastAsia" w:ascii="宋体" w:hAnsi="宋体" w:cs="宋体"/>
                <w:color w:val="000000"/>
                <w:kern w:val="0"/>
                <w:sz w:val="21"/>
                <w:szCs w:val="21"/>
              </w:rPr>
            </w:pPr>
          </w:p>
        </w:tc>
        <w:tc>
          <w:tcPr>
            <w:tcW w:w="1360" w:type="dxa"/>
            <w:vMerge w:val="continue"/>
            <w:vAlign w:val="center"/>
          </w:tcPr>
          <w:p w14:paraId="3C299BA4">
            <w:pPr>
              <w:widowControl/>
              <w:jc w:val="left"/>
              <w:rPr>
                <w:rFonts w:hint="eastAsia" w:ascii="宋体" w:hAnsi="宋体" w:cs="宋体"/>
                <w:color w:val="000000"/>
                <w:kern w:val="0"/>
                <w:sz w:val="21"/>
                <w:szCs w:val="21"/>
              </w:rPr>
            </w:pPr>
          </w:p>
        </w:tc>
        <w:tc>
          <w:tcPr>
            <w:tcW w:w="5200" w:type="dxa"/>
            <w:shd w:val="clear" w:color="auto" w:fill="auto"/>
            <w:vAlign w:val="center"/>
          </w:tcPr>
          <w:p w14:paraId="2344C3FD">
            <w:pPr>
              <w:widowControl/>
              <w:jc w:val="left"/>
              <w:rPr>
                <w:rFonts w:hint="eastAsia" w:ascii="宋体" w:hAnsi="宋体" w:cs="宋体"/>
                <w:kern w:val="0"/>
                <w:sz w:val="21"/>
                <w:szCs w:val="21"/>
              </w:rPr>
            </w:pPr>
            <w:r>
              <w:rPr>
                <w:rFonts w:hint="eastAsia" w:ascii="宋体" w:hAnsi="宋体" w:cs="宋体"/>
                <w:kern w:val="0"/>
                <w:sz w:val="21"/>
                <w:szCs w:val="21"/>
              </w:rPr>
              <w:t>所有业务板卡支持直接热插拔（提供证明材料，如官网截图、产品彩页截图、第三方报告等）</w:t>
            </w:r>
          </w:p>
        </w:tc>
      </w:tr>
      <w:tr w14:paraId="1BAD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28442D7">
            <w:pPr>
              <w:widowControl/>
              <w:jc w:val="left"/>
              <w:rPr>
                <w:rFonts w:hint="eastAsia" w:ascii="宋体" w:hAnsi="宋体" w:cs="宋体"/>
                <w:color w:val="000000"/>
                <w:kern w:val="0"/>
                <w:sz w:val="21"/>
                <w:szCs w:val="21"/>
              </w:rPr>
            </w:pPr>
          </w:p>
        </w:tc>
        <w:tc>
          <w:tcPr>
            <w:tcW w:w="1040" w:type="dxa"/>
            <w:vMerge w:val="continue"/>
            <w:vAlign w:val="center"/>
          </w:tcPr>
          <w:p w14:paraId="5705262B">
            <w:pPr>
              <w:widowControl/>
              <w:jc w:val="left"/>
              <w:rPr>
                <w:rFonts w:hint="eastAsia" w:ascii="宋体" w:hAnsi="宋体" w:cs="宋体"/>
                <w:color w:val="000000"/>
                <w:kern w:val="0"/>
                <w:sz w:val="21"/>
                <w:szCs w:val="21"/>
              </w:rPr>
            </w:pPr>
          </w:p>
        </w:tc>
        <w:tc>
          <w:tcPr>
            <w:tcW w:w="1360" w:type="dxa"/>
            <w:shd w:val="clear" w:color="auto" w:fill="auto"/>
            <w:vAlign w:val="center"/>
          </w:tcPr>
          <w:p w14:paraId="7B96276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模块数量要求</w:t>
            </w:r>
          </w:p>
        </w:tc>
        <w:tc>
          <w:tcPr>
            <w:tcW w:w="5200" w:type="dxa"/>
            <w:shd w:val="clear" w:color="auto" w:fill="auto"/>
            <w:vAlign w:val="center"/>
          </w:tcPr>
          <w:p w14:paraId="4A723D7C">
            <w:pPr>
              <w:widowControl/>
              <w:jc w:val="left"/>
              <w:rPr>
                <w:rFonts w:hint="eastAsia" w:ascii="宋体" w:hAnsi="宋体" w:cs="宋体"/>
                <w:kern w:val="0"/>
                <w:sz w:val="21"/>
                <w:szCs w:val="21"/>
              </w:rPr>
            </w:pPr>
            <w:r>
              <w:rPr>
                <w:rFonts w:hint="eastAsia" w:ascii="宋体" w:hAnsi="宋体" w:cs="宋体"/>
                <w:kern w:val="0"/>
                <w:sz w:val="21"/>
                <w:szCs w:val="21"/>
              </w:rPr>
              <w:t>单台设备模块数量：千兆光模块≥4（要求为中标品牌原厂模块）</w:t>
            </w:r>
          </w:p>
        </w:tc>
      </w:tr>
      <w:tr w14:paraId="67C5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DB4309E">
            <w:pPr>
              <w:widowControl/>
              <w:jc w:val="left"/>
              <w:rPr>
                <w:rFonts w:hint="eastAsia" w:ascii="宋体" w:hAnsi="宋体" w:cs="宋体"/>
                <w:color w:val="000000"/>
                <w:kern w:val="0"/>
                <w:sz w:val="21"/>
                <w:szCs w:val="21"/>
              </w:rPr>
            </w:pPr>
          </w:p>
        </w:tc>
        <w:tc>
          <w:tcPr>
            <w:tcW w:w="1040" w:type="dxa"/>
            <w:vMerge w:val="continue"/>
            <w:vAlign w:val="center"/>
          </w:tcPr>
          <w:p w14:paraId="34BA0CAB">
            <w:pPr>
              <w:widowControl/>
              <w:jc w:val="left"/>
              <w:rPr>
                <w:rFonts w:hint="eastAsia" w:ascii="宋体" w:hAnsi="宋体" w:cs="宋体"/>
                <w:color w:val="000000"/>
                <w:kern w:val="0"/>
                <w:sz w:val="21"/>
                <w:szCs w:val="21"/>
              </w:rPr>
            </w:pPr>
          </w:p>
        </w:tc>
        <w:tc>
          <w:tcPr>
            <w:tcW w:w="1360" w:type="dxa"/>
            <w:shd w:val="clear" w:color="auto" w:fill="auto"/>
            <w:vAlign w:val="center"/>
          </w:tcPr>
          <w:p w14:paraId="6084CBEB">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维保要求</w:t>
            </w:r>
          </w:p>
        </w:tc>
        <w:tc>
          <w:tcPr>
            <w:tcW w:w="5200" w:type="dxa"/>
            <w:shd w:val="clear" w:color="auto" w:fill="auto"/>
            <w:vAlign w:val="center"/>
          </w:tcPr>
          <w:p w14:paraId="618FE15E">
            <w:pPr>
              <w:widowControl/>
              <w:jc w:val="left"/>
              <w:rPr>
                <w:rFonts w:hint="eastAsia" w:ascii="宋体" w:hAnsi="宋体" w:cs="宋体"/>
                <w:kern w:val="0"/>
                <w:sz w:val="21"/>
                <w:szCs w:val="21"/>
              </w:rPr>
            </w:pPr>
            <w:r>
              <w:rPr>
                <w:rFonts w:hint="eastAsia" w:ascii="宋体" w:hAnsi="宋体" w:cs="宋体"/>
                <w:kern w:val="0"/>
                <w:sz w:val="21"/>
                <w:szCs w:val="21"/>
              </w:rPr>
              <w:t>所有设备包含5年原厂维护服务</w:t>
            </w:r>
          </w:p>
        </w:tc>
      </w:tr>
      <w:tr w14:paraId="59A8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7BD9E3C">
            <w:pPr>
              <w:widowControl/>
              <w:jc w:val="left"/>
              <w:rPr>
                <w:rFonts w:hint="eastAsia" w:ascii="宋体" w:hAnsi="宋体" w:cs="宋体"/>
                <w:color w:val="000000"/>
                <w:kern w:val="0"/>
                <w:sz w:val="21"/>
                <w:szCs w:val="21"/>
              </w:rPr>
            </w:pPr>
          </w:p>
        </w:tc>
        <w:tc>
          <w:tcPr>
            <w:tcW w:w="1040" w:type="dxa"/>
            <w:vMerge w:val="restart"/>
            <w:shd w:val="clear" w:color="auto" w:fill="auto"/>
            <w:vAlign w:val="center"/>
          </w:tcPr>
          <w:p w14:paraId="306C3B17">
            <w:pPr>
              <w:widowControl/>
              <w:jc w:val="center"/>
              <w:rPr>
                <w:rFonts w:hint="eastAsia" w:ascii="宋体" w:hAnsi="宋体" w:cs="宋体"/>
                <w:color w:val="000000"/>
                <w:kern w:val="0"/>
                <w:sz w:val="21"/>
                <w:szCs w:val="21"/>
              </w:rPr>
            </w:pPr>
            <w:r>
              <w:rPr>
                <w:rFonts w:hint="eastAsia" w:ascii="宋体" w:hAnsi="宋体" w:cs="宋体"/>
                <w:color w:val="000000"/>
                <w:kern w:val="0"/>
                <w:sz w:val="21"/>
                <w:szCs w:val="21"/>
              </w:rPr>
              <w:t>功能要求</w:t>
            </w:r>
          </w:p>
        </w:tc>
        <w:tc>
          <w:tcPr>
            <w:tcW w:w="1360" w:type="dxa"/>
            <w:shd w:val="clear" w:color="auto" w:fill="auto"/>
            <w:vAlign w:val="center"/>
          </w:tcPr>
          <w:p w14:paraId="4323AC49">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组播</w:t>
            </w:r>
          </w:p>
        </w:tc>
        <w:tc>
          <w:tcPr>
            <w:tcW w:w="5200" w:type="dxa"/>
            <w:shd w:val="clear" w:color="auto" w:fill="auto"/>
            <w:vAlign w:val="center"/>
          </w:tcPr>
          <w:p w14:paraId="4A953892">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IGMP V1/V2/V3，PIM SM，PIM DM，MSDP</w:t>
            </w:r>
          </w:p>
        </w:tc>
      </w:tr>
      <w:tr w14:paraId="2473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2029B3A">
            <w:pPr>
              <w:widowControl/>
              <w:jc w:val="left"/>
              <w:rPr>
                <w:rFonts w:hint="eastAsia" w:ascii="宋体" w:hAnsi="宋体" w:cs="宋体"/>
                <w:color w:val="000000"/>
                <w:kern w:val="0"/>
                <w:sz w:val="21"/>
                <w:szCs w:val="21"/>
              </w:rPr>
            </w:pPr>
          </w:p>
        </w:tc>
        <w:tc>
          <w:tcPr>
            <w:tcW w:w="1040" w:type="dxa"/>
            <w:vMerge w:val="continue"/>
            <w:vAlign w:val="center"/>
          </w:tcPr>
          <w:p w14:paraId="5909D616">
            <w:pPr>
              <w:widowControl/>
              <w:jc w:val="left"/>
              <w:rPr>
                <w:rFonts w:hint="eastAsia" w:ascii="宋体" w:hAnsi="宋体" w:cs="宋体"/>
                <w:color w:val="000000"/>
                <w:kern w:val="0"/>
                <w:sz w:val="21"/>
                <w:szCs w:val="21"/>
              </w:rPr>
            </w:pPr>
          </w:p>
        </w:tc>
        <w:tc>
          <w:tcPr>
            <w:tcW w:w="1360" w:type="dxa"/>
            <w:vMerge w:val="restart"/>
            <w:shd w:val="clear" w:color="auto" w:fill="auto"/>
            <w:vAlign w:val="center"/>
          </w:tcPr>
          <w:p w14:paraId="6966F7E9">
            <w:pPr>
              <w:widowControl/>
              <w:jc w:val="left"/>
              <w:rPr>
                <w:rFonts w:hint="eastAsia" w:ascii="宋体" w:hAnsi="宋体" w:cs="宋体"/>
                <w:kern w:val="0"/>
                <w:sz w:val="21"/>
                <w:szCs w:val="21"/>
              </w:rPr>
            </w:pPr>
            <w:r>
              <w:rPr>
                <w:rFonts w:hint="eastAsia" w:ascii="宋体" w:hAnsi="宋体" w:cs="宋体"/>
                <w:kern w:val="0"/>
                <w:sz w:val="21"/>
                <w:szCs w:val="21"/>
              </w:rPr>
              <w:t>三层功能</w:t>
            </w:r>
          </w:p>
        </w:tc>
        <w:tc>
          <w:tcPr>
            <w:tcW w:w="5200" w:type="dxa"/>
            <w:shd w:val="clear" w:color="auto" w:fill="auto"/>
            <w:vAlign w:val="center"/>
          </w:tcPr>
          <w:p w14:paraId="2E419165">
            <w:pPr>
              <w:widowControl/>
              <w:jc w:val="left"/>
              <w:rPr>
                <w:rFonts w:hint="eastAsia" w:ascii="宋体" w:hAnsi="宋体" w:cs="宋体"/>
                <w:kern w:val="0"/>
                <w:sz w:val="21"/>
                <w:szCs w:val="21"/>
              </w:rPr>
            </w:pPr>
            <w:r>
              <w:rPr>
                <w:rFonts w:hint="eastAsia" w:ascii="宋体" w:hAnsi="宋体" w:cs="宋体"/>
                <w:kern w:val="0"/>
                <w:sz w:val="21"/>
                <w:szCs w:val="21"/>
              </w:rPr>
              <w:t>支持RIP、OSPF、ISIS、BGP等IPv4动态路由协议</w:t>
            </w:r>
          </w:p>
        </w:tc>
      </w:tr>
      <w:tr w14:paraId="49DF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FA10D19">
            <w:pPr>
              <w:widowControl/>
              <w:jc w:val="left"/>
              <w:rPr>
                <w:rFonts w:hint="eastAsia" w:ascii="宋体" w:hAnsi="宋体" w:cs="宋体"/>
                <w:color w:val="000000"/>
                <w:kern w:val="0"/>
                <w:sz w:val="21"/>
                <w:szCs w:val="21"/>
              </w:rPr>
            </w:pPr>
          </w:p>
        </w:tc>
        <w:tc>
          <w:tcPr>
            <w:tcW w:w="1040" w:type="dxa"/>
            <w:vMerge w:val="continue"/>
            <w:vAlign w:val="center"/>
          </w:tcPr>
          <w:p w14:paraId="6080797B">
            <w:pPr>
              <w:widowControl/>
              <w:jc w:val="left"/>
              <w:rPr>
                <w:rFonts w:hint="eastAsia" w:ascii="宋体" w:hAnsi="宋体" w:cs="宋体"/>
                <w:color w:val="000000"/>
                <w:kern w:val="0"/>
                <w:sz w:val="21"/>
                <w:szCs w:val="21"/>
              </w:rPr>
            </w:pPr>
          </w:p>
        </w:tc>
        <w:tc>
          <w:tcPr>
            <w:tcW w:w="1360" w:type="dxa"/>
            <w:vMerge w:val="continue"/>
            <w:vAlign w:val="center"/>
          </w:tcPr>
          <w:p w14:paraId="3BC15833">
            <w:pPr>
              <w:widowControl/>
              <w:jc w:val="left"/>
              <w:rPr>
                <w:rFonts w:hint="eastAsia" w:ascii="宋体" w:hAnsi="宋体" w:cs="宋体"/>
                <w:kern w:val="0"/>
                <w:sz w:val="21"/>
                <w:szCs w:val="21"/>
              </w:rPr>
            </w:pPr>
          </w:p>
        </w:tc>
        <w:tc>
          <w:tcPr>
            <w:tcW w:w="5200" w:type="dxa"/>
            <w:shd w:val="clear" w:color="auto" w:fill="auto"/>
            <w:vAlign w:val="center"/>
          </w:tcPr>
          <w:p w14:paraId="03616151">
            <w:pPr>
              <w:widowControl/>
              <w:jc w:val="left"/>
              <w:rPr>
                <w:rFonts w:hint="eastAsia" w:ascii="宋体" w:hAnsi="宋体" w:cs="宋体"/>
                <w:kern w:val="0"/>
                <w:sz w:val="21"/>
                <w:szCs w:val="21"/>
              </w:rPr>
            </w:pPr>
            <w:r>
              <w:rPr>
                <w:rFonts w:hint="eastAsia" w:ascii="宋体" w:hAnsi="宋体" w:cs="宋体"/>
                <w:kern w:val="0"/>
                <w:sz w:val="21"/>
                <w:szCs w:val="21"/>
              </w:rPr>
              <w:t>支持RIPng、OSPFv3、ISISv6、BGP4+等IPv6动态路由协议</w:t>
            </w:r>
          </w:p>
        </w:tc>
      </w:tr>
      <w:tr w14:paraId="7D93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C95A768">
            <w:pPr>
              <w:widowControl/>
              <w:jc w:val="left"/>
              <w:rPr>
                <w:rFonts w:hint="eastAsia" w:ascii="宋体" w:hAnsi="宋体" w:cs="宋体"/>
                <w:color w:val="000000"/>
                <w:kern w:val="0"/>
                <w:sz w:val="21"/>
                <w:szCs w:val="21"/>
              </w:rPr>
            </w:pPr>
          </w:p>
        </w:tc>
        <w:tc>
          <w:tcPr>
            <w:tcW w:w="1040" w:type="dxa"/>
            <w:vMerge w:val="continue"/>
            <w:vAlign w:val="center"/>
          </w:tcPr>
          <w:p w14:paraId="6443F275">
            <w:pPr>
              <w:widowControl/>
              <w:jc w:val="left"/>
              <w:rPr>
                <w:rFonts w:hint="eastAsia" w:ascii="宋体" w:hAnsi="宋体" w:cs="宋体"/>
                <w:color w:val="000000"/>
                <w:kern w:val="0"/>
                <w:sz w:val="21"/>
                <w:szCs w:val="21"/>
              </w:rPr>
            </w:pPr>
          </w:p>
        </w:tc>
        <w:tc>
          <w:tcPr>
            <w:tcW w:w="1360" w:type="dxa"/>
            <w:vMerge w:val="continue"/>
            <w:vAlign w:val="center"/>
          </w:tcPr>
          <w:p w14:paraId="1DB95CC1">
            <w:pPr>
              <w:widowControl/>
              <w:jc w:val="left"/>
              <w:rPr>
                <w:rFonts w:hint="eastAsia" w:ascii="宋体" w:hAnsi="宋体" w:cs="宋体"/>
                <w:kern w:val="0"/>
                <w:sz w:val="21"/>
                <w:szCs w:val="21"/>
              </w:rPr>
            </w:pPr>
          </w:p>
        </w:tc>
        <w:tc>
          <w:tcPr>
            <w:tcW w:w="5200" w:type="dxa"/>
            <w:shd w:val="clear" w:color="auto" w:fill="auto"/>
            <w:vAlign w:val="center"/>
          </w:tcPr>
          <w:p w14:paraId="6B282151">
            <w:pPr>
              <w:widowControl/>
              <w:jc w:val="left"/>
              <w:rPr>
                <w:rFonts w:hint="eastAsia" w:ascii="宋体" w:hAnsi="宋体" w:cs="宋体"/>
                <w:kern w:val="0"/>
                <w:sz w:val="21"/>
                <w:szCs w:val="21"/>
              </w:rPr>
            </w:pPr>
            <w:r>
              <w:rPr>
                <w:rFonts w:hint="eastAsia" w:ascii="宋体" w:hAnsi="宋体" w:cs="宋体"/>
                <w:kern w:val="0"/>
                <w:sz w:val="21"/>
                <w:szCs w:val="21"/>
              </w:rPr>
              <w:t>支持策略路由</w:t>
            </w:r>
          </w:p>
        </w:tc>
      </w:tr>
      <w:tr w14:paraId="7667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D4115BA">
            <w:pPr>
              <w:widowControl/>
              <w:jc w:val="left"/>
              <w:rPr>
                <w:rFonts w:hint="eastAsia" w:ascii="宋体" w:hAnsi="宋体" w:cs="宋体"/>
                <w:color w:val="000000"/>
                <w:kern w:val="0"/>
                <w:sz w:val="21"/>
                <w:szCs w:val="21"/>
              </w:rPr>
            </w:pPr>
          </w:p>
        </w:tc>
        <w:tc>
          <w:tcPr>
            <w:tcW w:w="1040" w:type="dxa"/>
            <w:vMerge w:val="continue"/>
            <w:vAlign w:val="center"/>
          </w:tcPr>
          <w:p w14:paraId="14EB486E">
            <w:pPr>
              <w:widowControl/>
              <w:jc w:val="left"/>
              <w:rPr>
                <w:rFonts w:hint="eastAsia" w:ascii="宋体" w:hAnsi="宋体" w:cs="宋体"/>
                <w:color w:val="000000"/>
                <w:kern w:val="0"/>
                <w:sz w:val="21"/>
                <w:szCs w:val="21"/>
              </w:rPr>
            </w:pPr>
          </w:p>
        </w:tc>
        <w:tc>
          <w:tcPr>
            <w:tcW w:w="1360" w:type="dxa"/>
            <w:vMerge w:val="continue"/>
            <w:vAlign w:val="center"/>
          </w:tcPr>
          <w:p w14:paraId="21465EDB">
            <w:pPr>
              <w:widowControl/>
              <w:jc w:val="left"/>
              <w:rPr>
                <w:rFonts w:hint="eastAsia" w:ascii="宋体" w:hAnsi="宋体" w:cs="宋体"/>
                <w:kern w:val="0"/>
                <w:sz w:val="21"/>
                <w:szCs w:val="21"/>
              </w:rPr>
            </w:pPr>
          </w:p>
        </w:tc>
        <w:tc>
          <w:tcPr>
            <w:tcW w:w="5200" w:type="dxa"/>
            <w:shd w:val="clear" w:color="auto" w:fill="auto"/>
            <w:vAlign w:val="center"/>
          </w:tcPr>
          <w:p w14:paraId="23B1C88F">
            <w:pPr>
              <w:widowControl/>
              <w:jc w:val="left"/>
              <w:rPr>
                <w:rFonts w:hint="eastAsia" w:ascii="宋体" w:hAnsi="宋体" w:cs="宋体"/>
                <w:kern w:val="0"/>
                <w:sz w:val="21"/>
                <w:szCs w:val="21"/>
              </w:rPr>
            </w:pPr>
            <w:r>
              <w:rPr>
                <w:rFonts w:hint="eastAsia" w:ascii="宋体" w:hAnsi="宋体" w:cs="宋体"/>
                <w:kern w:val="0"/>
                <w:sz w:val="21"/>
                <w:szCs w:val="21"/>
              </w:rPr>
              <w:t>支持IPv6 ND、PMTU发现</w:t>
            </w:r>
          </w:p>
        </w:tc>
      </w:tr>
      <w:tr w14:paraId="7C0D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8AF74DD">
            <w:pPr>
              <w:widowControl/>
              <w:jc w:val="left"/>
              <w:rPr>
                <w:rFonts w:hint="eastAsia" w:ascii="宋体" w:hAnsi="宋体" w:cs="宋体"/>
                <w:color w:val="000000"/>
                <w:kern w:val="0"/>
                <w:sz w:val="21"/>
                <w:szCs w:val="21"/>
              </w:rPr>
            </w:pPr>
          </w:p>
        </w:tc>
        <w:tc>
          <w:tcPr>
            <w:tcW w:w="1040" w:type="dxa"/>
            <w:vMerge w:val="continue"/>
            <w:vAlign w:val="center"/>
          </w:tcPr>
          <w:p w14:paraId="4E230ABE">
            <w:pPr>
              <w:widowControl/>
              <w:jc w:val="left"/>
              <w:rPr>
                <w:rFonts w:hint="eastAsia" w:ascii="宋体" w:hAnsi="宋体" w:cs="宋体"/>
                <w:color w:val="000000"/>
                <w:kern w:val="0"/>
                <w:sz w:val="21"/>
                <w:szCs w:val="21"/>
              </w:rPr>
            </w:pPr>
          </w:p>
        </w:tc>
        <w:tc>
          <w:tcPr>
            <w:tcW w:w="1360" w:type="dxa"/>
            <w:vMerge w:val="continue"/>
            <w:vAlign w:val="center"/>
          </w:tcPr>
          <w:p w14:paraId="315FE74D">
            <w:pPr>
              <w:widowControl/>
              <w:jc w:val="left"/>
              <w:rPr>
                <w:rFonts w:hint="eastAsia" w:ascii="宋体" w:hAnsi="宋体" w:cs="宋体"/>
                <w:kern w:val="0"/>
                <w:sz w:val="21"/>
                <w:szCs w:val="21"/>
              </w:rPr>
            </w:pPr>
          </w:p>
        </w:tc>
        <w:tc>
          <w:tcPr>
            <w:tcW w:w="5200" w:type="dxa"/>
            <w:shd w:val="clear" w:color="auto" w:fill="auto"/>
            <w:vAlign w:val="center"/>
          </w:tcPr>
          <w:p w14:paraId="47394B5D">
            <w:pPr>
              <w:widowControl/>
              <w:jc w:val="left"/>
              <w:rPr>
                <w:rFonts w:hint="eastAsia" w:ascii="宋体" w:hAnsi="宋体" w:cs="宋体"/>
                <w:kern w:val="0"/>
                <w:sz w:val="21"/>
                <w:szCs w:val="21"/>
              </w:rPr>
            </w:pPr>
            <w:r>
              <w:rPr>
                <w:rFonts w:hint="eastAsia" w:ascii="宋体" w:hAnsi="宋体" w:cs="宋体"/>
                <w:kern w:val="0"/>
                <w:sz w:val="21"/>
                <w:szCs w:val="21"/>
              </w:rPr>
              <w:t>支持BFD双向检测</w:t>
            </w:r>
          </w:p>
        </w:tc>
      </w:tr>
      <w:tr w14:paraId="4816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0" w:type="dxa"/>
            <w:vMerge w:val="continue"/>
            <w:vAlign w:val="center"/>
          </w:tcPr>
          <w:p w14:paraId="1D8BF738">
            <w:pPr>
              <w:widowControl/>
              <w:jc w:val="left"/>
              <w:rPr>
                <w:rFonts w:hint="eastAsia" w:ascii="宋体" w:hAnsi="宋体" w:cs="宋体"/>
                <w:color w:val="000000"/>
                <w:kern w:val="0"/>
                <w:sz w:val="21"/>
                <w:szCs w:val="21"/>
              </w:rPr>
            </w:pPr>
          </w:p>
        </w:tc>
        <w:tc>
          <w:tcPr>
            <w:tcW w:w="1040" w:type="dxa"/>
            <w:vMerge w:val="continue"/>
            <w:vAlign w:val="center"/>
          </w:tcPr>
          <w:p w14:paraId="1D97DC6A">
            <w:pPr>
              <w:widowControl/>
              <w:jc w:val="left"/>
              <w:rPr>
                <w:rFonts w:hint="eastAsia" w:ascii="宋体" w:hAnsi="宋体" w:cs="宋体"/>
                <w:color w:val="000000"/>
                <w:kern w:val="0"/>
                <w:sz w:val="21"/>
                <w:szCs w:val="21"/>
              </w:rPr>
            </w:pPr>
          </w:p>
        </w:tc>
        <w:tc>
          <w:tcPr>
            <w:tcW w:w="1360" w:type="dxa"/>
            <w:shd w:val="clear" w:color="auto" w:fill="auto"/>
            <w:vAlign w:val="center"/>
          </w:tcPr>
          <w:p w14:paraId="65EF8368">
            <w:pPr>
              <w:widowControl/>
              <w:jc w:val="left"/>
              <w:rPr>
                <w:rFonts w:hint="eastAsia" w:ascii="宋体" w:hAnsi="宋体" w:cs="宋体"/>
                <w:kern w:val="0"/>
                <w:sz w:val="21"/>
                <w:szCs w:val="21"/>
              </w:rPr>
            </w:pPr>
            <w:r>
              <w:rPr>
                <w:rFonts w:hint="eastAsia" w:ascii="宋体" w:hAnsi="宋体" w:cs="宋体"/>
                <w:kern w:val="0"/>
                <w:sz w:val="21"/>
                <w:szCs w:val="21"/>
              </w:rPr>
              <w:t>安全要求</w:t>
            </w:r>
          </w:p>
        </w:tc>
        <w:tc>
          <w:tcPr>
            <w:tcW w:w="5200" w:type="dxa"/>
            <w:shd w:val="clear" w:color="auto" w:fill="auto"/>
            <w:vAlign w:val="center"/>
          </w:tcPr>
          <w:p w14:paraId="30910FC3">
            <w:pPr>
              <w:widowControl/>
              <w:jc w:val="left"/>
              <w:rPr>
                <w:rFonts w:hint="eastAsia" w:ascii="宋体" w:hAnsi="宋体" w:cs="宋体"/>
                <w:kern w:val="0"/>
                <w:sz w:val="21"/>
                <w:szCs w:val="21"/>
              </w:rPr>
            </w:pPr>
            <w:r>
              <w:rPr>
                <w:rFonts w:hint="eastAsia" w:ascii="宋体" w:hAnsi="宋体" w:cs="宋体"/>
                <w:kern w:val="0"/>
                <w:sz w:val="21"/>
                <w:szCs w:val="21"/>
              </w:rPr>
              <w:t>ACLv4/v6，基于域的状态防火墙，802.1x 认证，MAC 认证，Portal 认证，AAA，RADIUS，PKI，广播风暴抑制，ARP 安全，ICMP 防攻击，URPF，CPCAR，黑名单，攻击源追踪，国密算法 SM3/SM4，上网行为管理，IPS，URL 过滤</w:t>
            </w:r>
          </w:p>
        </w:tc>
      </w:tr>
      <w:tr w14:paraId="0BDC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22C59960">
            <w:pPr>
              <w:widowControl/>
              <w:jc w:val="left"/>
              <w:rPr>
                <w:rFonts w:hint="eastAsia" w:ascii="宋体" w:hAnsi="宋体" w:cs="宋体"/>
                <w:color w:val="000000"/>
                <w:kern w:val="0"/>
                <w:sz w:val="21"/>
                <w:szCs w:val="21"/>
              </w:rPr>
            </w:pPr>
          </w:p>
        </w:tc>
        <w:tc>
          <w:tcPr>
            <w:tcW w:w="1040" w:type="dxa"/>
            <w:vMerge w:val="continue"/>
            <w:vAlign w:val="center"/>
          </w:tcPr>
          <w:p w14:paraId="1199CD72">
            <w:pPr>
              <w:widowControl/>
              <w:jc w:val="left"/>
              <w:rPr>
                <w:rFonts w:hint="eastAsia" w:ascii="宋体" w:hAnsi="宋体" w:cs="宋体"/>
                <w:color w:val="000000"/>
                <w:kern w:val="0"/>
                <w:sz w:val="21"/>
                <w:szCs w:val="21"/>
              </w:rPr>
            </w:pPr>
          </w:p>
        </w:tc>
        <w:tc>
          <w:tcPr>
            <w:tcW w:w="1360" w:type="dxa"/>
            <w:shd w:val="clear" w:color="auto" w:fill="auto"/>
            <w:vAlign w:val="center"/>
          </w:tcPr>
          <w:p w14:paraId="546B5286">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QoS</w:t>
            </w:r>
          </w:p>
        </w:tc>
        <w:tc>
          <w:tcPr>
            <w:tcW w:w="5200" w:type="dxa"/>
            <w:shd w:val="clear" w:color="auto" w:fill="auto"/>
            <w:vAlign w:val="center"/>
          </w:tcPr>
          <w:p w14:paraId="3449BCCA">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Diffserv 模式，MPLS QoS，优先级映射，流量监管（CAR），流量整形，拥塞避免，拥塞管理，HQoS，MQC（流分类，流行为，流策略），端口三级调度和三级整形</w:t>
            </w:r>
          </w:p>
        </w:tc>
      </w:tr>
      <w:tr w14:paraId="6DA9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2D93212">
            <w:pPr>
              <w:widowControl/>
              <w:jc w:val="left"/>
              <w:rPr>
                <w:rFonts w:hint="eastAsia" w:ascii="宋体" w:hAnsi="宋体" w:cs="宋体"/>
                <w:color w:val="000000"/>
                <w:kern w:val="0"/>
                <w:sz w:val="21"/>
                <w:szCs w:val="21"/>
              </w:rPr>
            </w:pPr>
          </w:p>
        </w:tc>
        <w:tc>
          <w:tcPr>
            <w:tcW w:w="1040" w:type="dxa"/>
            <w:vMerge w:val="continue"/>
            <w:vAlign w:val="center"/>
          </w:tcPr>
          <w:p w14:paraId="016299C2">
            <w:pPr>
              <w:widowControl/>
              <w:jc w:val="left"/>
              <w:rPr>
                <w:rFonts w:hint="eastAsia" w:ascii="宋体" w:hAnsi="宋体" w:cs="宋体"/>
                <w:color w:val="000000"/>
                <w:kern w:val="0"/>
                <w:sz w:val="21"/>
                <w:szCs w:val="21"/>
              </w:rPr>
            </w:pPr>
          </w:p>
        </w:tc>
        <w:tc>
          <w:tcPr>
            <w:tcW w:w="1360" w:type="dxa"/>
            <w:shd w:val="clear" w:color="auto" w:fill="auto"/>
            <w:vAlign w:val="center"/>
          </w:tcPr>
          <w:p w14:paraId="3EB16A50">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VPN</w:t>
            </w:r>
          </w:p>
        </w:tc>
        <w:tc>
          <w:tcPr>
            <w:tcW w:w="5200" w:type="dxa"/>
            <w:shd w:val="clear" w:color="auto" w:fill="auto"/>
            <w:vAlign w:val="center"/>
          </w:tcPr>
          <w:p w14:paraId="374859CD">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VPN IPsec VPN，GRE VPN，DSVPN，A2A VPN，L2TP VPN，L2TPv3 VPN</w:t>
            </w:r>
          </w:p>
        </w:tc>
      </w:tr>
      <w:tr w14:paraId="2ED2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BA2A826">
            <w:pPr>
              <w:widowControl/>
              <w:jc w:val="left"/>
              <w:rPr>
                <w:rFonts w:hint="eastAsia" w:ascii="宋体" w:hAnsi="宋体" w:cs="宋体"/>
                <w:color w:val="000000"/>
                <w:kern w:val="0"/>
                <w:sz w:val="21"/>
                <w:szCs w:val="21"/>
              </w:rPr>
            </w:pPr>
          </w:p>
        </w:tc>
        <w:tc>
          <w:tcPr>
            <w:tcW w:w="1040" w:type="dxa"/>
            <w:vMerge w:val="continue"/>
            <w:vAlign w:val="center"/>
          </w:tcPr>
          <w:p w14:paraId="1A197BF8">
            <w:pPr>
              <w:widowControl/>
              <w:jc w:val="left"/>
              <w:rPr>
                <w:rFonts w:hint="eastAsia" w:ascii="宋体" w:hAnsi="宋体" w:cs="宋体"/>
                <w:color w:val="000000"/>
                <w:kern w:val="0"/>
                <w:sz w:val="21"/>
                <w:szCs w:val="21"/>
              </w:rPr>
            </w:pPr>
          </w:p>
        </w:tc>
        <w:tc>
          <w:tcPr>
            <w:tcW w:w="1360" w:type="dxa"/>
            <w:shd w:val="clear" w:color="auto" w:fill="auto"/>
            <w:vAlign w:val="center"/>
          </w:tcPr>
          <w:p w14:paraId="5EB59B7B">
            <w:pPr>
              <w:widowControl/>
              <w:jc w:val="left"/>
              <w:rPr>
                <w:rFonts w:hint="eastAsia" w:ascii="宋体" w:hAnsi="宋体" w:cs="宋体"/>
                <w:kern w:val="0"/>
                <w:sz w:val="21"/>
                <w:szCs w:val="21"/>
              </w:rPr>
            </w:pPr>
            <w:r>
              <w:rPr>
                <w:rFonts w:hint="eastAsia" w:ascii="宋体" w:hAnsi="宋体" w:cs="宋体"/>
                <w:kern w:val="0"/>
                <w:sz w:val="21"/>
                <w:szCs w:val="21"/>
              </w:rPr>
              <w:t>SNMP</w:t>
            </w:r>
          </w:p>
        </w:tc>
        <w:tc>
          <w:tcPr>
            <w:tcW w:w="5200" w:type="dxa"/>
            <w:shd w:val="clear" w:color="auto" w:fill="auto"/>
            <w:vAlign w:val="center"/>
          </w:tcPr>
          <w:p w14:paraId="781A94F9">
            <w:pPr>
              <w:widowControl/>
              <w:jc w:val="left"/>
              <w:rPr>
                <w:rFonts w:hint="eastAsia" w:ascii="宋体" w:hAnsi="宋体" w:cs="宋体"/>
                <w:kern w:val="0"/>
                <w:sz w:val="21"/>
                <w:szCs w:val="21"/>
              </w:rPr>
            </w:pPr>
            <w:r>
              <w:rPr>
                <w:rFonts w:hint="eastAsia" w:ascii="宋体" w:hAnsi="宋体" w:cs="宋体"/>
                <w:kern w:val="0"/>
                <w:sz w:val="21"/>
                <w:szCs w:val="21"/>
              </w:rPr>
              <w:t>支持开放性协议（例如SNMP），可实现网络设备运行状态监控功能</w:t>
            </w:r>
          </w:p>
        </w:tc>
      </w:tr>
      <w:tr w14:paraId="2965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A3362CD">
            <w:pPr>
              <w:widowControl/>
              <w:jc w:val="left"/>
              <w:rPr>
                <w:rFonts w:hint="eastAsia" w:ascii="宋体" w:hAnsi="宋体" w:cs="宋体"/>
                <w:color w:val="000000"/>
                <w:kern w:val="0"/>
                <w:sz w:val="21"/>
                <w:szCs w:val="21"/>
              </w:rPr>
            </w:pPr>
          </w:p>
        </w:tc>
        <w:tc>
          <w:tcPr>
            <w:tcW w:w="1040" w:type="dxa"/>
            <w:vMerge w:val="continue"/>
            <w:vAlign w:val="center"/>
          </w:tcPr>
          <w:p w14:paraId="30623A53">
            <w:pPr>
              <w:widowControl/>
              <w:jc w:val="left"/>
              <w:rPr>
                <w:rFonts w:hint="eastAsia" w:ascii="宋体" w:hAnsi="宋体" w:cs="宋体"/>
                <w:color w:val="000000"/>
                <w:kern w:val="0"/>
                <w:sz w:val="21"/>
                <w:szCs w:val="21"/>
              </w:rPr>
            </w:pPr>
          </w:p>
        </w:tc>
        <w:tc>
          <w:tcPr>
            <w:tcW w:w="1360" w:type="dxa"/>
            <w:shd w:val="clear" w:color="auto" w:fill="auto"/>
            <w:vAlign w:val="center"/>
          </w:tcPr>
          <w:p w14:paraId="4364528D">
            <w:pPr>
              <w:widowControl/>
              <w:jc w:val="left"/>
              <w:rPr>
                <w:rFonts w:hint="eastAsia" w:ascii="宋体" w:hAnsi="宋体" w:cs="宋体"/>
                <w:kern w:val="0"/>
                <w:sz w:val="21"/>
                <w:szCs w:val="21"/>
              </w:rPr>
            </w:pPr>
            <w:r>
              <w:rPr>
                <w:rFonts w:hint="eastAsia" w:ascii="宋体" w:hAnsi="宋体" w:cs="宋体"/>
                <w:kern w:val="0"/>
                <w:sz w:val="21"/>
                <w:szCs w:val="21"/>
              </w:rPr>
              <w:t>可靠性</w:t>
            </w:r>
          </w:p>
        </w:tc>
        <w:tc>
          <w:tcPr>
            <w:tcW w:w="5200" w:type="dxa"/>
            <w:shd w:val="clear" w:color="auto" w:fill="auto"/>
            <w:vAlign w:val="center"/>
          </w:tcPr>
          <w:p w14:paraId="7ABFC13D">
            <w:pPr>
              <w:widowControl/>
              <w:jc w:val="left"/>
              <w:rPr>
                <w:rFonts w:hint="eastAsia" w:ascii="宋体" w:hAnsi="宋体" w:cs="宋体"/>
                <w:kern w:val="0"/>
                <w:sz w:val="21"/>
                <w:szCs w:val="21"/>
              </w:rPr>
            </w:pPr>
            <w:r>
              <w:rPr>
                <w:rFonts w:hint="eastAsia" w:ascii="宋体" w:hAnsi="宋体" w:cs="宋体"/>
                <w:kern w:val="0"/>
                <w:sz w:val="21"/>
                <w:szCs w:val="21"/>
              </w:rPr>
              <w:t>支持VRRP、NQA、BFD、VRRP6、NQA6、BFD6</w:t>
            </w:r>
          </w:p>
        </w:tc>
      </w:tr>
      <w:tr w14:paraId="1B78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9CBFE17">
            <w:pPr>
              <w:widowControl/>
              <w:jc w:val="left"/>
              <w:rPr>
                <w:rFonts w:hint="eastAsia" w:ascii="宋体" w:hAnsi="宋体" w:cs="宋体"/>
                <w:color w:val="000000"/>
                <w:kern w:val="0"/>
                <w:sz w:val="21"/>
                <w:szCs w:val="21"/>
              </w:rPr>
            </w:pPr>
          </w:p>
        </w:tc>
        <w:tc>
          <w:tcPr>
            <w:tcW w:w="1040" w:type="dxa"/>
            <w:vMerge w:val="continue"/>
            <w:vAlign w:val="center"/>
          </w:tcPr>
          <w:p w14:paraId="11DF7A72">
            <w:pPr>
              <w:widowControl/>
              <w:jc w:val="left"/>
              <w:rPr>
                <w:rFonts w:hint="eastAsia" w:ascii="宋体" w:hAnsi="宋体" w:cs="宋体"/>
                <w:color w:val="000000"/>
                <w:kern w:val="0"/>
                <w:sz w:val="21"/>
                <w:szCs w:val="21"/>
              </w:rPr>
            </w:pPr>
          </w:p>
        </w:tc>
        <w:tc>
          <w:tcPr>
            <w:tcW w:w="1360" w:type="dxa"/>
            <w:shd w:val="clear" w:color="auto" w:fill="auto"/>
            <w:vAlign w:val="center"/>
          </w:tcPr>
          <w:p w14:paraId="456922D5">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MPLS</w:t>
            </w:r>
          </w:p>
        </w:tc>
        <w:tc>
          <w:tcPr>
            <w:tcW w:w="5200" w:type="dxa"/>
            <w:shd w:val="clear" w:color="auto" w:fill="auto"/>
            <w:vAlign w:val="center"/>
          </w:tcPr>
          <w:p w14:paraId="6D6A20CA">
            <w:pPr>
              <w:widowControl/>
              <w:jc w:val="left"/>
              <w:rPr>
                <w:rFonts w:hint="eastAsia" w:ascii="宋体" w:hAnsi="宋体" w:cs="宋体"/>
                <w:color w:val="000000"/>
                <w:kern w:val="0"/>
                <w:sz w:val="21"/>
                <w:szCs w:val="21"/>
              </w:rPr>
            </w:pPr>
            <w:r>
              <w:rPr>
                <w:rFonts w:hint="eastAsia" w:ascii="宋体" w:hAnsi="宋体" w:cs="宋体"/>
                <w:color w:val="000000"/>
                <w:kern w:val="0"/>
                <w:sz w:val="21"/>
                <w:szCs w:val="21"/>
              </w:rPr>
              <w:t>LDP，MPLS L3 VPN，VLL，PWE3，静态 LSP，动态 LSP，MPLS TE，IP FRR，LDP FRR，TE FRR</w:t>
            </w:r>
          </w:p>
        </w:tc>
      </w:tr>
    </w:tbl>
    <w:p w14:paraId="05C217A0">
      <w:pPr>
        <w:pStyle w:val="2"/>
        <w:ind w:left="0" w:leftChars="0" w:firstLine="0" w:firstLineChars="0"/>
      </w:pPr>
    </w:p>
    <w:p w14:paraId="02110BD4">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3.4.10深圳储能大厦和贵阳北七塔大厦防火墙共4台</w:t>
      </w:r>
    </w:p>
    <w:tbl>
      <w:tblPr>
        <w:tblStyle w:val="19"/>
        <w:tblW w:w="81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780"/>
        <w:gridCol w:w="1400"/>
        <w:gridCol w:w="5160"/>
      </w:tblGrid>
      <w:tr w14:paraId="23C1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20" w:type="dxa"/>
            <w:shd w:val="clear" w:color="auto" w:fill="auto"/>
            <w:vAlign w:val="bottom"/>
          </w:tcPr>
          <w:p w14:paraId="62FF680E">
            <w:pPr>
              <w:widowControl/>
              <w:jc w:val="center"/>
              <w:rPr>
                <w:rFonts w:hint="eastAsia" w:ascii="宋体" w:hAnsi="宋体" w:cs="宋体"/>
                <w:b/>
                <w:bCs/>
                <w:kern w:val="0"/>
                <w:sz w:val="21"/>
                <w:szCs w:val="21"/>
              </w:rPr>
            </w:pPr>
            <w:r>
              <w:rPr>
                <w:rFonts w:hint="eastAsia" w:ascii="宋体" w:hAnsi="宋体" w:cs="宋体"/>
                <w:b/>
                <w:bCs/>
                <w:kern w:val="0"/>
                <w:sz w:val="21"/>
                <w:szCs w:val="21"/>
              </w:rPr>
              <w:t>项目名称</w:t>
            </w:r>
          </w:p>
        </w:tc>
        <w:tc>
          <w:tcPr>
            <w:tcW w:w="780" w:type="dxa"/>
            <w:shd w:val="clear" w:color="auto" w:fill="auto"/>
            <w:vAlign w:val="center"/>
          </w:tcPr>
          <w:p w14:paraId="7B47C916">
            <w:pPr>
              <w:widowControl/>
              <w:jc w:val="center"/>
              <w:rPr>
                <w:rFonts w:hint="eastAsia" w:ascii="宋体" w:hAnsi="宋体" w:cs="宋体"/>
                <w:b/>
                <w:bCs/>
                <w:kern w:val="0"/>
                <w:sz w:val="21"/>
                <w:szCs w:val="21"/>
              </w:rPr>
            </w:pPr>
            <w:r>
              <w:rPr>
                <w:rFonts w:hint="eastAsia" w:ascii="宋体" w:hAnsi="宋体" w:cs="宋体"/>
                <w:b/>
                <w:bCs/>
                <w:kern w:val="0"/>
                <w:sz w:val="21"/>
                <w:szCs w:val="21"/>
              </w:rPr>
              <w:t>类别</w:t>
            </w:r>
          </w:p>
        </w:tc>
        <w:tc>
          <w:tcPr>
            <w:tcW w:w="1400" w:type="dxa"/>
            <w:shd w:val="clear" w:color="auto" w:fill="auto"/>
            <w:vAlign w:val="center"/>
          </w:tcPr>
          <w:p w14:paraId="0BFA4655">
            <w:pPr>
              <w:widowControl/>
              <w:jc w:val="center"/>
              <w:rPr>
                <w:rFonts w:hint="eastAsia" w:ascii="宋体" w:hAnsi="宋体" w:cs="宋体"/>
                <w:b/>
                <w:bCs/>
                <w:kern w:val="0"/>
                <w:sz w:val="21"/>
                <w:szCs w:val="21"/>
              </w:rPr>
            </w:pPr>
            <w:r>
              <w:rPr>
                <w:rFonts w:hint="eastAsia" w:ascii="宋体" w:hAnsi="宋体" w:cs="宋体"/>
                <w:b/>
                <w:bCs/>
                <w:kern w:val="0"/>
                <w:sz w:val="21"/>
                <w:szCs w:val="21"/>
              </w:rPr>
              <w:t>要求项</w:t>
            </w:r>
          </w:p>
        </w:tc>
        <w:tc>
          <w:tcPr>
            <w:tcW w:w="5160" w:type="dxa"/>
            <w:shd w:val="clear" w:color="auto" w:fill="auto"/>
            <w:vAlign w:val="center"/>
          </w:tcPr>
          <w:p w14:paraId="1B68EFBE">
            <w:pPr>
              <w:widowControl/>
              <w:jc w:val="center"/>
              <w:rPr>
                <w:rFonts w:hint="eastAsia" w:ascii="宋体" w:hAnsi="宋体" w:cs="宋体"/>
                <w:b/>
                <w:bCs/>
                <w:kern w:val="0"/>
                <w:sz w:val="21"/>
                <w:szCs w:val="21"/>
              </w:rPr>
            </w:pPr>
            <w:r>
              <w:rPr>
                <w:rFonts w:hint="eastAsia" w:ascii="宋体" w:hAnsi="宋体" w:cs="宋体"/>
                <w:b/>
                <w:bCs/>
                <w:kern w:val="0"/>
                <w:sz w:val="21"/>
                <w:szCs w:val="21"/>
              </w:rPr>
              <w:t>要求明细</w:t>
            </w:r>
          </w:p>
        </w:tc>
      </w:tr>
      <w:tr w14:paraId="21CF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640947F4">
            <w:pPr>
              <w:widowControl/>
              <w:jc w:val="center"/>
              <w:rPr>
                <w:rFonts w:hint="eastAsia" w:ascii="宋体" w:hAnsi="宋体" w:cs="宋体"/>
                <w:kern w:val="0"/>
                <w:sz w:val="21"/>
                <w:szCs w:val="21"/>
              </w:rPr>
            </w:pPr>
            <w:r>
              <w:rPr>
                <w:rFonts w:hint="eastAsia" w:ascii="宋体" w:hAnsi="宋体" w:cs="宋体"/>
                <w:kern w:val="0"/>
                <w:sz w:val="21"/>
                <w:szCs w:val="21"/>
              </w:rPr>
              <w:t>IDC网络设备升级项目三期</w:t>
            </w:r>
          </w:p>
        </w:tc>
        <w:tc>
          <w:tcPr>
            <w:tcW w:w="780" w:type="dxa"/>
            <w:vMerge w:val="restart"/>
            <w:shd w:val="clear" w:color="auto" w:fill="auto"/>
            <w:vAlign w:val="center"/>
          </w:tcPr>
          <w:p w14:paraId="531A5A6B">
            <w:pPr>
              <w:widowControl/>
              <w:jc w:val="center"/>
              <w:rPr>
                <w:rFonts w:hint="eastAsia" w:ascii="宋体" w:hAnsi="宋体" w:cs="宋体"/>
                <w:kern w:val="0"/>
                <w:sz w:val="21"/>
                <w:szCs w:val="21"/>
              </w:rPr>
            </w:pPr>
            <w:r>
              <w:rPr>
                <w:rFonts w:hint="eastAsia" w:ascii="宋体" w:hAnsi="宋体" w:cs="宋体"/>
                <w:kern w:val="0"/>
                <w:sz w:val="21"/>
                <w:szCs w:val="21"/>
              </w:rPr>
              <w:t>★基础要求</w:t>
            </w:r>
          </w:p>
        </w:tc>
        <w:tc>
          <w:tcPr>
            <w:tcW w:w="1400" w:type="dxa"/>
            <w:shd w:val="clear" w:color="auto" w:fill="auto"/>
            <w:vAlign w:val="center"/>
          </w:tcPr>
          <w:p w14:paraId="350BA199">
            <w:pPr>
              <w:widowControl/>
              <w:jc w:val="left"/>
              <w:rPr>
                <w:rFonts w:hint="eastAsia" w:ascii="宋体" w:hAnsi="宋体" w:cs="宋体"/>
                <w:kern w:val="0"/>
                <w:sz w:val="21"/>
                <w:szCs w:val="21"/>
              </w:rPr>
            </w:pPr>
            <w:r>
              <w:rPr>
                <w:rFonts w:hint="eastAsia" w:ascii="宋体" w:hAnsi="宋体" w:cs="宋体"/>
                <w:kern w:val="0"/>
                <w:sz w:val="21"/>
                <w:szCs w:val="21"/>
              </w:rPr>
              <w:t>信创要求</w:t>
            </w:r>
          </w:p>
        </w:tc>
        <w:tc>
          <w:tcPr>
            <w:tcW w:w="5160" w:type="dxa"/>
            <w:shd w:val="clear" w:color="000000" w:fill="FFFFFF"/>
            <w:vAlign w:val="bottom"/>
          </w:tcPr>
          <w:p w14:paraId="1A43458C">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364F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CDD3608">
            <w:pPr>
              <w:widowControl/>
              <w:jc w:val="left"/>
              <w:rPr>
                <w:rFonts w:hint="eastAsia" w:ascii="宋体" w:hAnsi="宋体" w:cs="宋体"/>
                <w:kern w:val="0"/>
                <w:sz w:val="21"/>
                <w:szCs w:val="21"/>
              </w:rPr>
            </w:pPr>
          </w:p>
        </w:tc>
        <w:tc>
          <w:tcPr>
            <w:tcW w:w="780" w:type="dxa"/>
            <w:vMerge w:val="continue"/>
            <w:vAlign w:val="center"/>
          </w:tcPr>
          <w:p w14:paraId="0D6EA4C1">
            <w:pPr>
              <w:widowControl/>
              <w:jc w:val="left"/>
              <w:rPr>
                <w:rFonts w:hint="eastAsia" w:ascii="宋体" w:hAnsi="宋体" w:cs="宋体"/>
                <w:kern w:val="0"/>
                <w:sz w:val="21"/>
                <w:szCs w:val="21"/>
              </w:rPr>
            </w:pPr>
          </w:p>
        </w:tc>
        <w:tc>
          <w:tcPr>
            <w:tcW w:w="1400" w:type="dxa"/>
            <w:shd w:val="clear" w:color="auto" w:fill="auto"/>
            <w:vAlign w:val="bottom"/>
          </w:tcPr>
          <w:p w14:paraId="68B33D67">
            <w:pPr>
              <w:widowControl/>
              <w:jc w:val="left"/>
              <w:rPr>
                <w:rFonts w:hint="eastAsia" w:ascii="宋体" w:hAnsi="宋体" w:cs="宋体"/>
                <w:kern w:val="0"/>
                <w:sz w:val="21"/>
                <w:szCs w:val="21"/>
              </w:rPr>
            </w:pPr>
            <w:r>
              <w:rPr>
                <w:rFonts w:hint="eastAsia" w:ascii="宋体" w:hAnsi="宋体" w:cs="宋体"/>
                <w:kern w:val="0"/>
                <w:sz w:val="21"/>
                <w:szCs w:val="21"/>
              </w:rPr>
              <w:t>案例要求</w:t>
            </w:r>
          </w:p>
        </w:tc>
        <w:tc>
          <w:tcPr>
            <w:tcW w:w="5160" w:type="dxa"/>
            <w:shd w:val="clear" w:color="auto" w:fill="auto"/>
            <w:vAlign w:val="bottom"/>
          </w:tcPr>
          <w:p w14:paraId="3F478896">
            <w:pPr>
              <w:widowControl/>
              <w:jc w:val="left"/>
              <w:rPr>
                <w:rFonts w:hint="eastAsia" w:ascii="宋体" w:hAnsi="宋体" w:cs="宋体"/>
                <w:kern w:val="0"/>
                <w:sz w:val="21"/>
                <w:szCs w:val="21"/>
              </w:rPr>
            </w:pPr>
            <w:r>
              <w:rPr>
                <w:rFonts w:hint="eastAsia" w:ascii="宋体" w:hAnsi="宋体" w:cs="宋体"/>
                <w:kern w:val="0"/>
                <w:sz w:val="21"/>
                <w:szCs w:val="21"/>
              </w:rPr>
              <w:t>提供所投型号系列在证券行业的案例（提供证明材料）</w:t>
            </w:r>
          </w:p>
        </w:tc>
      </w:tr>
      <w:tr w14:paraId="2117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2B7D401D">
            <w:pPr>
              <w:widowControl/>
              <w:jc w:val="left"/>
              <w:rPr>
                <w:rFonts w:hint="eastAsia" w:ascii="宋体" w:hAnsi="宋体" w:cs="宋体"/>
                <w:kern w:val="0"/>
                <w:sz w:val="21"/>
                <w:szCs w:val="21"/>
              </w:rPr>
            </w:pPr>
          </w:p>
        </w:tc>
        <w:tc>
          <w:tcPr>
            <w:tcW w:w="780" w:type="dxa"/>
            <w:vMerge w:val="continue"/>
            <w:vAlign w:val="center"/>
          </w:tcPr>
          <w:p w14:paraId="7F11634F">
            <w:pPr>
              <w:widowControl/>
              <w:jc w:val="left"/>
              <w:rPr>
                <w:rFonts w:hint="eastAsia" w:ascii="宋体" w:hAnsi="宋体" w:cs="宋体"/>
                <w:kern w:val="0"/>
                <w:sz w:val="21"/>
                <w:szCs w:val="21"/>
              </w:rPr>
            </w:pPr>
          </w:p>
        </w:tc>
        <w:tc>
          <w:tcPr>
            <w:tcW w:w="1400" w:type="dxa"/>
            <w:shd w:val="clear" w:color="auto" w:fill="auto"/>
            <w:vAlign w:val="bottom"/>
          </w:tcPr>
          <w:p w14:paraId="591BD88A">
            <w:pPr>
              <w:widowControl/>
              <w:jc w:val="left"/>
              <w:rPr>
                <w:rFonts w:hint="eastAsia" w:ascii="宋体" w:hAnsi="宋体" w:cs="宋体"/>
                <w:kern w:val="0"/>
                <w:sz w:val="21"/>
                <w:szCs w:val="21"/>
              </w:rPr>
            </w:pPr>
            <w:r>
              <w:rPr>
                <w:rFonts w:hint="eastAsia" w:ascii="宋体" w:hAnsi="宋体" w:cs="宋体"/>
                <w:kern w:val="0"/>
                <w:sz w:val="21"/>
                <w:szCs w:val="21"/>
              </w:rPr>
              <w:t>产品要求</w:t>
            </w:r>
          </w:p>
        </w:tc>
        <w:tc>
          <w:tcPr>
            <w:tcW w:w="5160" w:type="dxa"/>
            <w:shd w:val="clear" w:color="auto" w:fill="auto"/>
            <w:vAlign w:val="bottom"/>
          </w:tcPr>
          <w:p w14:paraId="1C4F164E">
            <w:pPr>
              <w:widowControl/>
              <w:jc w:val="left"/>
              <w:rPr>
                <w:rFonts w:hint="eastAsia" w:ascii="宋体" w:hAnsi="宋体" w:cs="宋体"/>
                <w:kern w:val="0"/>
                <w:sz w:val="21"/>
                <w:szCs w:val="21"/>
              </w:rPr>
            </w:pPr>
            <w:r>
              <w:rPr>
                <w:rFonts w:hint="eastAsia" w:ascii="宋体" w:hAnsi="宋体" w:cs="宋体"/>
                <w:kern w:val="0"/>
                <w:sz w:val="21"/>
                <w:szCs w:val="21"/>
              </w:rPr>
              <w:t>要求所投产品具备中国国家信息安全产品认证证书（提供有效证书复印件）</w:t>
            </w:r>
          </w:p>
        </w:tc>
      </w:tr>
      <w:tr w14:paraId="4E09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18949FCC">
            <w:pPr>
              <w:widowControl/>
              <w:jc w:val="left"/>
              <w:rPr>
                <w:rFonts w:hint="eastAsia" w:ascii="宋体" w:hAnsi="宋体" w:cs="宋体"/>
                <w:kern w:val="0"/>
                <w:sz w:val="21"/>
                <w:szCs w:val="21"/>
              </w:rPr>
            </w:pPr>
          </w:p>
        </w:tc>
        <w:tc>
          <w:tcPr>
            <w:tcW w:w="780" w:type="dxa"/>
            <w:vMerge w:val="continue"/>
            <w:vAlign w:val="center"/>
          </w:tcPr>
          <w:p w14:paraId="18C31FE4">
            <w:pPr>
              <w:widowControl/>
              <w:jc w:val="left"/>
              <w:rPr>
                <w:rFonts w:hint="eastAsia" w:ascii="宋体" w:hAnsi="宋体" w:cs="宋体"/>
                <w:kern w:val="0"/>
                <w:sz w:val="21"/>
                <w:szCs w:val="21"/>
              </w:rPr>
            </w:pPr>
          </w:p>
        </w:tc>
        <w:tc>
          <w:tcPr>
            <w:tcW w:w="1400" w:type="dxa"/>
            <w:shd w:val="clear" w:color="auto" w:fill="auto"/>
            <w:vAlign w:val="bottom"/>
          </w:tcPr>
          <w:p w14:paraId="10AB2BF2">
            <w:pPr>
              <w:widowControl/>
              <w:jc w:val="left"/>
              <w:rPr>
                <w:rFonts w:hint="eastAsia" w:ascii="宋体" w:hAnsi="宋体" w:cs="宋体"/>
                <w:kern w:val="0"/>
                <w:sz w:val="21"/>
                <w:szCs w:val="21"/>
              </w:rPr>
            </w:pPr>
            <w:r>
              <w:rPr>
                <w:rFonts w:hint="eastAsia" w:ascii="宋体" w:hAnsi="宋体" w:cs="宋体"/>
                <w:kern w:val="0"/>
                <w:sz w:val="21"/>
                <w:szCs w:val="21"/>
              </w:rPr>
              <w:t>排名要求</w:t>
            </w:r>
          </w:p>
        </w:tc>
        <w:tc>
          <w:tcPr>
            <w:tcW w:w="5160" w:type="dxa"/>
            <w:shd w:val="clear" w:color="auto" w:fill="auto"/>
            <w:vAlign w:val="bottom"/>
          </w:tcPr>
          <w:p w14:paraId="11C1ACA6">
            <w:pPr>
              <w:widowControl/>
              <w:jc w:val="left"/>
              <w:rPr>
                <w:rFonts w:hint="eastAsia" w:ascii="宋体" w:hAnsi="宋体" w:cs="宋体"/>
                <w:kern w:val="0"/>
                <w:sz w:val="21"/>
                <w:szCs w:val="21"/>
              </w:rPr>
            </w:pPr>
            <w:r>
              <w:rPr>
                <w:rFonts w:hint="eastAsia" w:ascii="宋体" w:hAnsi="宋体" w:cs="宋体"/>
                <w:kern w:val="0"/>
                <w:sz w:val="21"/>
                <w:szCs w:val="21"/>
              </w:rPr>
              <w:t>要求2017年起所投产品连续6年入围Gartner网络防火墙魔力象限，提供有效证明材料。</w:t>
            </w:r>
          </w:p>
        </w:tc>
      </w:tr>
      <w:tr w14:paraId="4EF2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4B284EEB">
            <w:pPr>
              <w:widowControl/>
              <w:jc w:val="left"/>
              <w:rPr>
                <w:rFonts w:hint="eastAsia" w:ascii="宋体" w:hAnsi="宋体" w:cs="宋体"/>
                <w:kern w:val="0"/>
                <w:sz w:val="21"/>
                <w:szCs w:val="21"/>
              </w:rPr>
            </w:pPr>
          </w:p>
        </w:tc>
        <w:tc>
          <w:tcPr>
            <w:tcW w:w="780" w:type="dxa"/>
            <w:vMerge w:val="continue"/>
            <w:vAlign w:val="center"/>
          </w:tcPr>
          <w:p w14:paraId="646857C6">
            <w:pPr>
              <w:widowControl/>
              <w:jc w:val="left"/>
              <w:rPr>
                <w:rFonts w:hint="eastAsia" w:ascii="宋体" w:hAnsi="宋体" w:cs="宋体"/>
                <w:kern w:val="0"/>
                <w:sz w:val="21"/>
                <w:szCs w:val="21"/>
              </w:rPr>
            </w:pPr>
          </w:p>
        </w:tc>
        <w:tc>
          <w:tcPr>
            <w:tcW w:w="1400" w:type="dxa"/>
            <w:shd w:val="clear" w:color="auto" w:fill="auto"/>
            <w:vAlign w:val="bottom"/>
          </w:tcPr>
          <w:p w14:paraId="11FC2EEF">
            <w:pPr>
              <w:widowControl/>
              <w:jc w:val="left"/>
              <w:rPr>
                <w:rFonts w:hint="eastAsia" w:ascii="宋体" w:hAnsi="宋体" w:cs="宋体"/>
                <w:kern w:val="0"/>
                <w:sz w:val="21"/>
                <w:szCs w:val="21"/>
              </w:rPr>
            </w:pPr>
            <w:r>
              <w:rPr>
                <w:rFonts w:hint="eastAsia" w:ascii="宋体" w:hAnsi="宋体" w:cs="宋体"/>
                <w:kern w:val="0"/>
                <w:sz w:val="21"/>
                <w:szCs w:val="21"/>
              </w:rPr>
              <w:t>IPV6能力</w:t>
            </w:r>
          </w:p>
        </w:tc>
        <w:tc>
          <w:tcPr>
            <w:tcW w:w="5160" w:type="dxa"/>
            <w:shd w:val="clear" w:color="auto" w:fill="auto"/>
            <w:vAlign w:val="bottom"/>
          </w:tcPr>
          <w:p w14:paraId="12A13ECC">
            <w:pPr>
              <w:widowControl/>
              <w:jc w:val="left"/>
              <w:rPr>
                <w:rFonts w:hint="eastAsia" w:ascii="宋体" w:hAnsi="宋体" w:cs="宋体"/>
                <w:kern w:val="0"/>
                <w:sz w:val="21"/>
                <w:szCs w:val="21"/>
              </w:rPr>
            </w:pPr>
            <w:r>
              <w:rPr>
                <w:rFonts w:hint="eastAsia" w:ascii="宋体" w:hAnsi="宋体" w:cs="宋体"/>
                <w:kern w:val="0"/>
                <w:sz w:val="21"/>
                <w:szCs w:val="21"/>
              </w:rPr>
              <w:t>产品支持IPv4/IPv6双栈工作模式，以适应IPv6发展趋势。（需提供产品功能截图证明）</w:t>
            </w:r>
          </w:p>
        </w:tc>
      </w:tr>
      <w:tr w14:paraId="7BCE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5769FDC5">
            <w:pPr>
              <w:widowControl/>
              <w:jc w:val="left"/>
              <w:rPr>
                <w:rFonts w:hint="eastAsia" w:ascii="宋体" w:hAnsi="宋体" w:cs="宋体"/>
                <w:kern w:val="0"/>
                <w:sz w:val="21"/>
                <w:szCs w:val="21"/>
              </w:rPr>
            </w:pPr>
          </w:p>
        </w:tc>
        <w:tc>
          <w:tcPr>
            <w:tcW w:w="780" w:type="dxa"/>
            <w:vMerge w:val="continue"/>
            <w:vAlign w:val="center"/>
          </w:tcPr>
          <w:p w14:paraId="18395346">
            <w:pPr>
              <w:widowControl/>
              <w:jc w:val="left"/>
              <w:rPr>
                <w:rFonts w:hint="eastAsia" w:ascii="宋体" w:hAnsi="宋体" w:cs="宋体"/>
                <w:kern w:val="0"/>
                <w:sz w:val="21"/>
                <w:szCs w:val="21"/>
              </w:rPr>
            </w:pPr>
          </w:p>
        </w:tc>
        <w:tc>
          <w:tcPr>
            <w:tcW w:w="1400" w:type="dxa"/>
            <w:shd w:val="clear" w:color="auto" w:fill="auto"/>
            <w:vAlign w:val="bottom"/>
          </w:tcPr>
          <w:p w14:paraId="6A3C5CB3">
            <w:pPr>
              <w:widowControl/>
              <w:jc w:val="left"/>
              <w:rPr>
                <w:rFonts w:hint="eastAsia" w:ascii="宋体" w:hAnsi="宋体" w:cs="宋体"/>
                <w:kern w:val="0"/>
                <w:sz w:val="21"/>
                <w:szCs w:val="21"/>
              </w:rPr>
            </w:pPr>
            <w:r>
              <w:rPr>
                <w:rFonts w:hint="eastAsia" w:ascii="宋体" w:hAnsi="宋体" w:cs="宋体"/>
                <w:kern w:val="0"/>
                <w:sz w:val="21"/>
                <w:szCs w:val="21"/>
              </w:rPr>
              <w:t>双机切换</w:t>
            </w:r>
          </w:p>
        </w:tc>
        <w:tc>
          <w:tcPr>
            <w:tcW w:w="5160" w:type="dxa"/>
            <w:shd w:val="clear" w:color="auto" w:fill="auto"/>
            <w:vAlign w:val="bottom"/>
          </w:tcPr>
          <w:p w14:paraId="28BD28AE">
            <w:pPr>
              <w:widowControl/>
              <w:jc w:val="left"/>
              <w:rPr>
                <w:rFonts w:hint="eastAsia" w:ascii="宋体" w:hAnsi="宋体" w:cs="宋体"/>
                <w:kern w:val="0"/>
                <w:sz w:val="21"/>
                <w:szCs w:val="21"/>
              </w:rPr>
            </w:pPr>
            <w:r>
              <w:rPr>
                <w:rFonts w:hint="eastAsia" w:ascii="宋体" w:hAnsi="宋体" w:cs="宋体"/>
                <w:kern w:val="0"/>
                <w:sz w:val="21"/>
                <w:szCs w:val="21"/>
              </w:rPr>
              <w:t>支持双机切换，当主机故障时，双机切换时不丢包；支持基于接口、PING等监测对象实现 HA 切换</w:t>
            </w:r>
          </w:p>
        </w:tc>
      </w:tr>
      <w:tr w14:paraId="0FF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820" w:type="dxa"/>
            <w:vMerge w:val="continue"/>
            <w:vAlign w:val="center"/>
          </w:tcPr>
          <w:p w14:paraId="3554401C">
            <w:pPr>
              <w:widowControl/>
              <w:jc w:val="left"/>
              <w:rPr>
                <w:rFonts w:hint="eastAsia" w:ascii="宋体" w:hAnsi="宋体" w:cs="宋体"/>
                <w:kern w:val="0"/>
                <w:sz w:val="21"/>
                <w:szCs w:val="21"/>
              </w:rPr>
            </w:pPr>
          </w:p>
        </w:tc>
        <w:tc>
          <w:tcPr>
            <w:tcW w:w="780" w:type="dxa"/>
            <w:vMerge w:val="continue"/>
            <w:vAlign w:val="center"/>
          </w:tcPr>
          <w:p w14:paraId="7C2C42B7">
            <w:pPr>
              <w:widowControl/>
              <w:jc w:val="left"/>
              <w:rPr>
                <w:rFonts w:hint="eastAsia" w:ascii="宋体" w:hAnsi="宋体" w:cs="宋体"/>
                <w:kern w:val="0"/>
                <w:sz w:val="21"/>
                <w:szCs w:val="21"/>
              </w:rPr>
            </w:pPr>
          </w:p>
        </w:tc>
        <w:tc>
          <w:tcPr>
            <w:tcW w:w="1400" w:type="dxa"/>
            <w:shd w:val="clear" w:color="auto" w:fill="auto"/>
            <w:vAlign w:val="bottom"/>
          </w:tcPr>
          <w:p w14:paraId="490870CC">
            <w:pPr>
              <w:widowControl/>
              <w:jc w:val="left"/>
              <w:rPr>
                <w:rFonts w:hint="eastAsia" w:ascii="宋体" w:hAnsi="宋体" w:cs="宋体"/>
                <w:kern w:val="0"/>
                <w:sz w:val="21"/>
                <w:szCs w:val="21"/>
              </w:rPr>
            </w:pPr>
            <w:r>
              <w:rPr>
                <w:rFonts w:hint="eastAsia" w:ascii="宋体" w:hAnsi="宋体" w:cs="宋体"/>
                <w:kern w:val="0"/>
                <w:sz w:val="21"/>
                <w:szCs w:val="21"/>
              </w:rPr>
              <w:t>性能参数</w:t>
            </w:r>
          </w:p>
        </w:tc>
        <w:tc>
          <w:tcPr>
            <w:tcW w:w="5160" w:type="dxa"/>
            <w:shd w:val="clear" w:color="auto" w:fill="auto"/>
            <w:vAlign w:val="bottom"/>
          </w:tcPr>
          <w:p w14:paraId="63DC27EF">
            <w:pPr>
              <w:widowControl/>
              <w:jc w:val="left"/>
              <w:rPr>
                <w:rFonts w:hint="eastAsia" w:ascii="宋体" w:hAnsi="宋体" w:cs="宋体"/>
                <w:kern w:val="0"/>
                <w:sz w:val="21"/>
                <w:szCs w:val="21"/>
              </w:rPr>
            </w:pPr>
            <w:r>
              <w:rPr>
                <w:rFonts w:hint="eastAsia" w:ascii="宋体" w:hAnsi="宋体" w:cs="宋体"/>
                <w:kern w:val="0"/>
                <w:sz w:val="21"/>
                <w:szCs w:val="21"/>
              </w:rPr>
              <w:t>网络层吞吐量≥8G；全威胁吞吐量≥800M；并发连接数≥400万；HTTP新建连接数≥10万（提供证明材料，如官网截图、产品彩页截图、第三方检测报告等）</w:t>
            </w:r>
          </w:p>
        </w:tc>
      </w:tr>
      <w:tr w14:paraId="593E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398142C">
            <w:pPr>
              <w:widowControl/>
              <w:jc w:val="left"/>
              <w:rPr>
                <w:rFonts w:hint="eastAsia" w:ascii="宋体" w:hAnsi="宋体" w:cs="宋体"/>
                <w:kern w:val="0"/>
                <w:sz w:val="21"/>
                <w:szCs w:val="21"/>
              </w:rPr>
            </w:pPr>
          </w:p>
        </w:tc>
        <w:tc>
          <w:tcPr>
            <w:tcW w:w="780" w:type="dxa"/>
            <w:vMerge w:val="continue"/>
            <w:vAlign w:val="center"/>
          </w:tcPr>
          <w:p w14:paraId="3C4ABFCA">
            <w:pPr>
              <w:widowControl/>
              <w:jc w:val="left"/>
              <w:rPr>
                <w:rFonts w:hint="eastAsia" w:ascii="宋体" w:hAnsi="宋体" w:cs="宋体"/>
                <w:kern w:val="0"/>
                <w:sz w:val="21"/>
                <w:szCs w:val="21"/>
              </w:rPr>
            </w:pPr>
          </w:p>
        </w:tc>
        <w:tc>
          <w:tcPr>
            <w:tcW w:w="1400" w:type="dxa"/>
            <w:shd w:val="clear" w:color="auto" w:fill="auto"/>
            <w:vAlign w:val="center"/>
          </w:tcPr>
          <w:p w14:paraId="1AAC8020">
            <w:pPr>
              <w:widowControl/>
              <w:jc w:val="left"/>
              <w:rPr>
                <w:rFonts w:hint="eastAsia" w:ascii="宋体" w:hAnsi="宋体" w:cs="宋体"/>
                <w:kern w:val="0"/>
                <w:sz w:val="21"/>
                <w:szCs w:val="21"/>
              </w:rPr>
            </w:pPr>
            <w:r>
              <w:rPr>
                <w:rFonts w:hint="eastAsia" w:ascii="宋体" w:hAnsi="宋体" w:cs="宋体"/>
                <w:kern w:val="0"/>
                <w:sz w:val="21"/>
                <w:szCs w:val="21"/>
              </w:rPr>
              <w:t>维保要求</w:t>
            </w:r>
          </w:p>
        </w:tc>
        <w:tc>
          <w:tcPr>
            <w:tcW w:w="5160" w:type="dxa"/>
            <w:shd w:val="clear" w:color="auto" w:fill="auto"/>
            <w:vAlign w:val="center"/>
          </w:tcPr>
          <w:p w14:paraId="66BC19FF">
            <w:pPr>
              <w:widowControl/>
              <w:jc w:val="left"/>
              <w:rPr>
                <w:rFonts w:hint="eastAsia" w:ascii="宋体" w:hAnsi="宋体" w:cs="宋体"/>
                <w:kern w:val="0"/>
                <w:sz w:val="21"/>
                <w:szCs w:val="21"/>
              </w:rPr>
            </w:pPr>
            <w:r>
              <w:rPr>
                <w:rFonts w:hint="eastAsia" w:ascii="宋体" w:hAnsi="宋体" w:cs="宋体"/>
                <w:kern w:val="0"/>
                <w:sz w:val="21"/>
                <w:szCs w:val="21"/>
              </w:rPr>
              <w:t>所有设备包含5年原厂维保服务</w:t>
            </w:r>
          </w:p>
        </w:tc>
      </w:tr>
      <w:tr w14:paraId="4E0F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20" w:type="dxa"/>
            <w:vMerge w:val="continue"/>
            <w:vAlign w:val="center"/>
          </w:tcPr>
          <w:p w14:paraId="45EA8909">
            <w:pPr>
              <w:widowControl/>
              <w:jc w:val="left"/>
              <w:rPr>
                <w:rFonts w:hint="eastAsia" w:ascii="宋体" w:hAnsi="宋体" w:cs="宋体"/>
                <w:kern w:val="0"/>
                <w:sz w:val="21"/>
                <w:szCs w:val="21"/>
              </w:rPr>
            </w:pPr>
          </w:p>
        </w:tc>
        <w:tc>
          <w:tcPr>
            <w:tcW w:w="780" w:type="dxa"/>
            <w:vMerge w:val="continue"/>
            <w:vAlign w:val="center"/>
          </w:tcPr>
          <w:p w14:paraId="5197FFE6">
            <w:pPr>
              <w:widowControl/>
              <w:jc w:val="left"/>
              <w:rPr>
                <w:rFonts w:hint="eastAsia" w:ascii="宋体" w:hAnsi="宋体" w:cs="宋体"/>
                <w:kern w:val="0"/>
                <w:sz w:val="21"/>
                <w:szCs w:val="21"/>
              </w:rPr>
            </w:pPr>
          </w:p>
        </w:tc>
        <w:tc>
          <w:tcPr>
            <w:tcW w:w="1400" w:type="dxa"/>
            <w:shd w:val="clear" w:color="auto" w:fill="auto"/>
            <w:vAlign w:val="bottom"/>
          </w:tcPr>
          <w:p w14:paraId="4F410E65">
            <w:pPr>
              <w:widowControl/>
              <w:jc w:val="left"/>
              <w:rPr>
                <w:rFonts w:hint="eastAsia" w:ascii="宋体" w:hAnsi="宋体" w:cs="宋体"/>
                <w:kern w:val="0"/>
                <w:sz w:val="21"/>
                <w:szCs w:val="21"/>
              </w:rPr>
            </w:pPr>
            <w:r>
              <w:rPr>
                <w:rFonts w:hint="eastAsia" w:ascii="宋体" w:hAnsi="宋体" w:cs="宋体"/>
                <w:kern w:val="0"/>
                <w:sz w:val="21"/>
                <w:szCs w:val="21"/>
              </w:rPr>
              <w:t>端口要求</w:t>
            </w:r>
          </w:p>
        </w:tc>
        <w:tc>
          <w:tcPr>
            <w:tcW w:w="5160" w:type="dxa"/>
            <w:shd w:val="clear" w:color="auto" w:fill="auto"/>
            <w:vAlign w:val="bottom"/>
          </w:tcPr>
          <w:p w14:paraId="0DD20B7E">
            <w:pPr>
              <w:widowControl/>
              <w:jc w:val="left"/>
              <w:rPr>
                <w:rFonts w:hint="eastAsia" w:ascii="宋体" w:hAnsi="宋体" w:cs="宋体"/>
                <w:kern w:val="0"/>
                <w:sz w:val="21"/>
                <w:szCs w:val="21"/>
              </w:rPr>
            </w:pPr>
            <w:r>
              <w:rPr>
                <w:rFonts w:hint="eastAsia" w:ascii="宋体" w:hAnsi="宋体" w:cs="宋体"/>
                <w:kern w:val="0"/>
                <w:sz w:val="21"/>
                <w:szCs w:val="21"/>
              </w:rPr>
              <w:t>≥4千兆电口，≥4千兆光口（提供证明材料，如官网截图、产品彩页截图、第三方报告等）</w:t>
            </w:r>
          </w:p>
        </w:tc>
      </w:tr>
      <w:tr w14:paraId="036E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5109FEF">
            <w:pPr>
              <w:widowControl/>
              <w:jc w:val="left"/>
              <w:rPr>
                <w:rFonts w:hint="eastAsia" w:ascii="宋体" w:hAnsi="宋体" w:cs="宋体"/>
                <w:kern w:val="0"/>
                <w:sz w:val="21"/>
                <w:szCs w:val="21"/>
              </w:rPr>
            </w:pPr>
          </w:p>
        </w:tc>
        <w:tc>
          <w:tcPr>
            <w:tcW w:w="780" w:type="dxa"/>
            <w:vMerge w:val="continue"/>
            <w:vAlign w:val="center"/>
          </w:tcPr>
          <w:p w14:paraId="29D46533">
            <w:pPr>
              <w:widowControl/>
              <w:jc w:val="left"/>
              <w:rPr>
                <w:rFonts w:hint="eastAsia" w:ascii="宋体" w:hAnsi="宋体" w:cs="宋体"/>
                <w:kern w:val="0"/>
                <w:sz w:val="21"/>
                <w:szCs w:val="21"/>
              </w:rPr>
            </w:pPr>
          </w:p>
        </w:tc>
        <w:tc>
          <w:tcPr>
            <w:tcW w:w="1400" w:type="dxa"/>
            <w:vMerge w:val="restart"/>
            <w:shd w:val="clear" w:color="auto" w:fill="auto"/>
            <w:vAlign w:val="bottom"/>
          </w:tcPr>
          <w:p w14:paraId="543B130B">
            <w:pPr>
              <w:widowControl/>
              <w:jc w:val="left"/>
              <w:rPr>
                <w:rFonts w:hint="eastAsia" w:ascii="宋体" w:hAnsi="宋体" w:cs="宋体"/>
                <w:kern w:val="0"/>
                <w:sz w:val="21"/>
                <w:szCs w:val="21"/>
              </w:rPr>
            </w:pPr>
            <w:r>
              <w:rPr>
                <w:rFonts w:hint="eastAsia" w:ascii="宋体" w:hAnsi="宋体" w:cs="宋体"/>
                <w:kern w:val="0"/>
                <w:sz w:val="21"/>
                <w:szCs w:val="21"/>
              </w:rPr>
              <w:t>硬件规格</w:t>
            </w:r>
          </w:p>
        </w:tc>
        <w:tc>
          <w:tcPr>
            <w:tcW w:w="5160" w:type="dxa"/>
            <w:shd w:val="clear" w:color="auto" w:fill="auto"/>
            <w:vAlign w:val="bottom"/>
          </w:tcPr>
          <w:p w14:paraId="79566BB4">
            <w:pPr>
              <w:widowControl/>
              <w:jc w:val="left"/>
              <w:rPr>
                <w:rFonts w:hint="eastAsia" w:ascii="宋体" w:hAnsi="宋体" w:cs="宋体"/>
                <w:kern w:val="0"/>
                <w:sz w:val="21"/>
                <w:szCs w:val="21"/>
              </w:rPr>
            </w:pPr>
            <w:r>
              <w:rPr>
                <w:rFonts w:hint="eastAsia" w:ascii="宋体" w:hAnsi="宋体" w:cs="宋体"/>
                <w:kern w:val="0"/>
                <w:sz w:val="21"/>
                <w:szCs w:val="21"/>
              </w:rPr>
              <w:t>内存≥8GB</w:t>
            </w:r>
          </w:p>
        </w:tc>
      </w:tr>
      <w:tr w14:paraId="74E4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4C222BDD">
            <w:pPr>
              <w:widowControl/>
              <w:jc w:val="left"/>
              <w:rPr>
                <w:rFonts w:hint="eastAsia" w:ascii="宋体" w:hAnsi="宋体" w:cs="宋体"/>
                <w:kern w:val="0"/>
                <w:sz w:val="21"/>
                <w:szCs w:val="21"/>
              </w:rPr>
            </w:pPr>
          </w:p>
        </w:tc>
        <w:tc>
          <w:tcPr>
            <w:tcW w:w="780" w:type="dxa"/>
            <w:vMerge w:val="continue"/>
            <w:vAlign w:val="center"/>
          </w:tcPr>
          <w:p w14:paraId="55F9AAD4">
            <w:pPr>
              <w:widowControl/>
              <w:jc w:val="left"/>
              <w:rPr>
                <w:rFonts w:hint="eastAsia" w:ascii="宋体" w:hAnsi="宋体" w:cs="宋体"/>
                <w:kern w:val="0"/>
                <w:sz w:val="21"/>
                <w:szCs w:val="21"/>
              </w:rPr>
            </w:pPr>
          </w:p>
        </w:tc>
        <w:tc>
          <w:tcPr>
            <w:tcW w:w="1400" w:type="dxa"/>
            <w:vMerge w:val="continue"/>
            <w:vAlign w:val="center"/>
          </w:tcPr>
          <w:p w14:paraId="661B7648">
            <w:pPr>
              <w:widowControl/>
              <w:jc w:val="left"/>
              <w:rPr>
                <w:rFonts w:hint="eastAsia" w:ascii="宋体" w:hAnsi="宋体" w:cs="宋体"/>
                <w:kern w:val="0"/>
                <w:sz w:val="21"/>
                <w:szCs w:val="21"/>
              </w:rPr>
            </w:pPr>
          </w:p>
        </w:tc>
        <w:tc>
          <w:tcPr>
            <w:tcW w:w="5160" w:type="dxa"/>
            <w:shd w:val="clear" w:color="auto" w:fill="auto"/>
            <w:vAlign w:val="bottom"/>
          </w:tcPr>
          <w:p w14:paraId="46959E3E">
            <w:pPr>
              <w:widowControl/>
              <w:jc w:val="left"/>
              <w:rPr>
                <w:rFonts w:hint="eastAsia" w:ascii="宋体" w:hAnsi="宋体" w:cs="宋体"/>
                <w:kern w:val="0"/>
                <w:sz w:val="21"/>
                <w:szCs w:val="21"/>
              </w:rPr>
            </w:pPr>
            <w:r>
              <w:rPr>
                <w:rFonts w:hint="eastAsia" w:ascii="宋体" w:hAnsi="宋体" w:cs="宋体"/>
                <w:kern w:val="0"/>
                <w:sz w:val="21"/>
                <w:szCs w:val="21"/>
              </w:rPr>
              <w:t>硬盘容量≥128G SSD</w:t>
            </w:r>
          </w:p>
        </w:tc>
      </w:tr>
      <w:tr w14:paraId="11D6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023D1DF">
            <w:pPr>
              <w:widowControl/>
              <w:jc w:val="left"/>
              <w:rPr>
                <w:rFonts w:hint="eastAsia" w:ascii="宋体" w:hAnsi="宋体" w:cs="宋体"/>
                <w:kern w:val="0"/>
                <w:sz w:val="21"/>
                <w:szCs w:val="21"/>
              </w:rPr>
            </w:pPr>
          </w:p>
        </w:tc>
        <w:tc>
          <w:tcPr>
            <w:tcW w:w="780" w:type="dxa"/>
            <w:vMerge w:val="continue"/>
            <w:vAlign w:val="center"/>
          </w:tcPr>
          <w:p w14:paraId="79371A2C">
            <w:pPr>
              <w:widowControl/>
              <w:jc w:val="left"/>
              <w:rPr>
                <w:rFonts w:hint="eastAsia" w:ascii="宋体" w:hAnsi="宋体" w:cs="宋体"/>
                <w:kern w:val="0"/>
                <w:sz w:val="21"/>
                <w:szCs w:val="21"/>
              </w:rPr>
            </w:pPr>
          </w:p>
        </w:tc>
        <w:tc>
          <w:tcPr>
            <w:tcW w:w="1400" w:type="dxa"/>
            <w:vMerge w:val="continue"/>
            <w:vAlign w:val="center"/>
          </w:tcPr>
          <w:p w14:paraId="51F3F2BC">
            <w:pPr>
              <w:widowControl/>
              <w:jc w:val="left"/>
              <w:rPr>
                <w:rFonts w:hint="eastAsia" w:ascii="宋体" w:hAnsi="宋体" w:cs="宋体"/>
                <w:kern w:val="0"/>
                <w:sz w:val="21"/>
                <w:szCs w:val="21"/>
              </w:rPr>
            </w:pPr>
          </w:p>
        </w:tc>
        <w:tc>
          <w:tcPr>
            <w:tcW w:w="5160" w:type="dxa"/>
            <w:shd w:val="clear" w:color="auto" w:fill="auto"/>
            <w:vAlign w:val="bottom"/>
          </w:tcPr>
          <w:p w14:paraId="16B3FBFA">
            <w:pPr>
              <w:widowControl/>
              <w:jc w:val="left"/>
              <w:rPr>
                <w:rFonts w:hint="eastAsia" w:ascii="宋体" w:hAnsi="宋体" w:cs="宋体"/>
                <w:kern w:val="0"/>
                <w:sz w:val="21"/>
                <w:szCs w:val="21"/>
              </w:rPr>
            </w:pPr>
            <w:r>
              <w:rPr>
                <w:rFonts w:hint="eastAsia" w:ascii="宋体" w:hAnsi="宋体" w:cs="宋体"/>
                <w:kern w:val="0"/>
                <w:sz w:val="21"/>
                <w:szCs w:val="21"/>
              </w:rPr>
              <w:t>冗余电源，支持热插拔</w:t>
            </w:r>
          </w:p>
        </w:tc>
      </w:tr>
      <w:tr w14:paraId="3382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9F84A14">
            <w:pPr>
              <w:widowControl/>
              <w:jc w:val="left"/>
              <w:rPr>
                <w:rFonts w:hint="eastAsia" w:ascii="宋体" w:hAnsi="宋体" w:cs="宋体"/>
                <w:kern w:val="0"/>
                <w:sz w:val="21"/>
                <w:szCs w:val="21"/>
              </w:rPr>
            </w:pPr>
          </w:p>
        </w:tc>
        <w:tc>
          <w:tcPr>
            <w:tcW w:w="780" w:type="dxa"/>
            <w:vMerge w:val="restart"/>
            <w:shd w:val="clear" w:color="auto" w:fill="auto"/>
            <w:vAlign w:val="center"/>
          </w:tcPr>
          <w:p w14:paraId="753EC451">
            <w:pPr>
              <w:widowControl/>
              <w:jc w:val="center"/>
              <w:rPr>
                <w:rFonts w:hint="eastAsia" w:ascii="宋体" w:hAnsi="宋体" w:cs="宋体"/>
                <w:kern w:val="0"/>
                <w:sz w:val="21"/>
                <w:szCs w:val="21"/>
              </w:rPr>
            </w:pPr>
            <w:r>
              <w:rPr>
                <w:rFonts w:hint="eastAsia" w:ascii="宋体" w:hAnsi="宋体" w:cs="宋体"/>
                <w:kern w:val="0"/>
                <w:sz w:val="21"/>
                <w:szCs w:val="21"/>
              </w:rPr>
              <w:t>功能要求</w:t>
            </w:r>
          </w:p>
        </w:tc>
        <w:tc>
          <w:tcPr>
            <w:tcW w:w="1400" w:type="dxa"/>
            <w:shd w:val="clear" w:color="auto" w:fill="auto"/>
            <w:vAlign w:val="center"/>
          </w:tcPr>
          <w:p w14:paraId="03FE5C94">
            <w:pPr>
              <w:widowControl/>
              <w:jc w:val="left"/>
              <w:rPr>
                <w:rFonts w:hint="eastAsia" w:ascii="宋体" w:hAnsi="宋体" w:cs="宋体"/>
                <w:kern w:val="0"/>
                <w:sz w:val="21"/>
                <w:szCs w:val="21"/>
              </w:rPr>
            </w:pPr>
            <w:r>
              <w:rPr>
                <w:rFonts w:hint="eastAsia" w:ascii="宋体" w:hAnsi="宋体" w:cs="宋体"/>
                <w:kern w:val="0"/>
                <w:sz w:val="21"/>
                <w:szCs w:val="21"/>
              </w:rPr>
              <w:t>QOS限速</w:t>
            </w:r>
          </w:p>
        </w:tc>
        <w:tc>
          <w:tcPr>
            <w:tcW w:w="5160" w:type="dxa"/>
            <w:shd w:val="clear" w:color="auto" w:fill="auto"/>
            <w:vAlign w:val="center"/>
          </w:tcPr>
          <w:p w14:paraId="503244B3">
            <w:pPr>
              <w:widowControl/>
              <w:jc w:val="left"/>
              <w:rPr>
                <w:rFonts w:hint="eastAsia" w:ascii="宋体" w:hAnsi="宋体" w:cs="宋体"/>
                <w:kern w:val="0"/>
                <w:sz w:val="21"/>
                <w:szCs w:val="21"/>
              </w:rPr>
            </w:pPr>
            <w:r>
              <w:rPr>
                <w:rFonts w:hint="eastAsia" w:ascii="宋体" w:hAnsi="宋体" w:cs="宋体"/>
                <w:kern w:val="0"/>
                <w:sz w:val="21"/>
                <w:szCs w:val="21"/>
              </w:rPr>
              <w:t>有针对每IP限速到指定带宽的功能</w:t>
            </w:r>
          </w:p>
        </w:tc>
      </w:tr>
      <w:tr w14:paraId="1977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2C40D105">
            <w:pPr>
              <w:widowControl/>
              <w:jc w:val="left"/>
              <w:rPr>
                <w:rFonts w:hint="eastAsia" w:ascii="宋体" w:hAnsi="宋体" w:cs="宋体"/>
                <w:kern w:val="0"/>
                <w:sz w:val="21"/>
                <w:szCs w:val="21"/>
              </w:rPr>
            </w:pPr>
          </w:p>
        </w:tc>
        <w:tc>
          <w:tcPr>
            <w:tcW w:w="780" w:type="dxa"/>
            <w:vMerge w:val="continue"/>
            <w:vAlign w:val="center"/>
          </w:tcPr>
          <w:p w14:paraId="4D9F76B2">
            <w:pPr>
              <w:widowControl/>
              <w:jc w:val="left"/>
              <w:rPr>
                <w:rFonts w:hint="eastAsia" w:ascii="宋体" w:hAnsi="宋体" w:cs="宋体"/>
                <w:kern w:val="0"/>
                <w:sz w:val="21"/>
                <w:szCs w:val="21"/>
              </w:rPr>
            </w:pPr>
          </w:p>
        </w:tc>
        <w:tc>
          <w:tcPr>
            <w:tcW w:w="1400" w:type="dxa"/>
            <w:vMerge w:val="restart"/>
            <w:shd w:val="clear" w:color="auto" w:fill="auto"/>
            <w:vAlign w:val="center"/>
          </w:tcPr>
          <w:p w14:paraId="7999683F">
            <w:pPr>
              <w:widowControl/>
              <w:jc w:val="left"/>
              <w:rPr>
                <w:rFonts w:hint="eastAsia" w:ascii="宋体" w:hAnsi="宋体" w:cs="宋体"/>
                <w:kern w:val="0"/>
                <w:sz w:val="21"/>
                <w:szCs w:val="21"/>
              </w:rPr>
            </w:pPr>
            <w:r>
              <w:rPr>
                <w:rFonts w:hint="eastAsia" w:ascii="宋体" w:hAnsi="宋体" w:cs="宋体"/>
                <w:kern w:val="0"/>
                <w:sz w:val="21"/>
                <w:szCs w:val="21"/>
              </w:rPr>
              <w:t>运维管理</w:t>
            </w:r>
          </w:p>
        </w:tc>
        <w:tc>
          <w:tcPr>
            <w:tcW w:w="5160" w:type="dxa"/>
            <w:shd w:val="clear" w:color="auto" w:fill="auto"/>
            <w:vAlign w:val="center"/>
          </w:tcPr>
          <w:p w14:paraId="0D413412">
            <w:pPr>
              <w:widowControl/>
              <w:jc w:val="left"/>
              <w:rPr>
                <w:rFonts w:hint="eastAsia" w:ascii="宋体" w:hAnsi="宋体" w:cs="宋体"/>
                <w:kern w:val="0"/>
                <w:sz w:val="21"/>
                <w:szCs w:val="21"/>
              </w:rPr>
            </w:pPr>
            <w:r>
              <w:rPr>
                <w:rFonts w:hint="eastAsia" w:ascii="宋体" w:hAnsi="宋体" w:cs="宋体"/>
                <w:kern w:val="0"/>
                <w:sz w:val="21"/>
                <w:szCs w:val="21"/>
              </w:rPr>
              <w:t>支持在WEB管理页面查看连接表信息，同时支持在界面中对连接表进行源IP，目的IP，源端口，目的端口，虚拟服务等过滤条件的过滤查询</w:t>
            </w:r>
          </w:p>
        </w:tc>
      </w:tr>
      <w:tr w14:paraId="3C19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13EBA443">
            <w:pPr>
              <w:widowControl/>
              <w:jc w:val="left"/>
              <w:rPr>
                <w:rFonts w:hint="eastAsia" w:ascii="宋体" w:hAnsi="宋体" w:cs="宋体"/>
                <w:kern w:val="0"/>
                <w:sz w:val="21"/>
                <w:szCs w:val="21"/>
              </w:rPr>
            </w:pPr>
          </w:p>
        </w:tc>
        <w:tc>
          <w:tcPr>
            <w:tcW w:w="780" w:type="dxa"/>
            <w:vMerge w:val="continue"/>
            <w:vAlign w:val="center"/>
          </w:tcPr>
          <w:p w14:paraId="52095377">
            <w:pPr>
              <w:widowControl/>
              <w:jc w:val="left"/>
              <w:rPr>
                <w:rFonts w:hint="eastAsia" w:ascii="宋体" w:hAnsi="宋体" w:cs="宋体"/>
                <w:kern w:val="0"/>
                <w:sz w:val="21"/>
                <w:szCs w:val="21"/>
              </w:rPr>
            </w:pPr>
          </w:p>
        </w:tc>
        <w:tc>
          <w:tcPr>
            <w:tcW w:w="1400" w:type="dxa"/>
            <w:vMerge w:val="continue"/>
            <w:vAlign w:val="center"/>
          </w:tcPr>
          <w:p w14:paraId="4AD3CDC1">
            <w:pPr>
              <w:widowControl/>
              <w:jc w:val="left"/>
              <w:rPr>
                <w:rFonts w:hint="eastAsia" w:ascii="宋体" w:hAnsi="宋体" w:cs="宋体"/>
                <w:kern w:val="0"/>
                <w:sz w:val="21"/>
                <w:szCs w:val="21"/>
              </w:rPr>
            </w:pPr>
          </w:p>
        </w:tc>
        <w:tc>
          <w:tcPr>
            <w:tcW w:w="5160" w:type="dxa"/>
            <w:shd w:val="clear" w:color="auto" w:fill="auto"/>
            <w:vAlign w:val="center"/>
          </w:tcPr>
          <w:p w14:paraId="3A893091">
            <w:pPr>
              <w:widowControl/>
              <w:jc w:val="left"/>
              <w:rPr>
                <w:rFonts w:hint="eastAsia" w:ascii="宋体" w:hAnsi="宋体" w:cs="宋体"/>
                <w:kern w:val="0"/>
                <w:sz w:val="21"/>
                <w:szCs w:val="21"/>
              </w:rPr>
            </w:pPr>
            <w:r>
              <w:rPr>
                <w:rFonts w:hint="eastAsia" w:ascii="宋体" w:hAnsi="宋体" w:cs="宋体"/>
                <w:kern w:val="0"/>
                <w:sz w:val="21"/>
                <w:szCs w:val="21"/>
              </w:rPr>
              <w:t>支持对设备的管理日志进行新旧配置对比，及时发现设备管理上的变化；（提供设备操作界面截图证明材料）</w:t>
            </w:r>
          </w:p>
        </w:tc>
      </w:tr>
      <w:tr w14:paraId="3B94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0" w:type="dxa"/>
            <w:vMerge w:val="continue"/>
            <w:vAlign w:val="center"/>
          </w:tcPr>
          <w:p w14:paraId="264DB372">
            <w:pPr>
              <w:widowControl/>
              <w:jc w:val="left"/>
              <w:rPr>
                <w:rFonts w:hint="eastAsia" w:ascii="宋体" w:hAnsi="宋体" w:cs="宋体"/>
                <w:kern w:val="0"/>
                <w:sz w:val="21"/>
                <w:szCs w:val="21"/>
              </w:rPr>
            </w:pPr>
          </w:p>
        </w:tc>
        <w:tc>
          <w:tcPr>
            <w:tcW w:w="780" w:type="dxa"/>
            <w:vMerge w:val="continue"/>
            <w:vAlign w:val="center"/>
          </w:tcPr>
          <w:p w14:paraId="0DE9EF70">
            <w:pPr>
              <w:widowControl/>
              <w:jc w:val="left"/>
              <w:rPr>
                <w:rFonts w:hint="eastAsia" w:ascii="宋体" w:hAnsi="宋体" w:cs="宋体"/>
                <w:kern w:val="0"/>
                <w:sz w:val="21"/>
                <w:szCs w:val="21"/>
              </w:rPr>
            </w:pPr>
          </w:p>
        </w:tc>
        <w:tc>
          <w:tcPr>
            <w:tcW w:w="1400" w:type="dxa"/>
            <w:vMerge w:val="restart"/>
            <w:shd w:val="clear" w:color="auto" w:fill="auto"/>
            <w:vAlign w:val="center"/>
          </w:tcPr>
          <w:p w14:paraId="6293590D">
            <w:pPr>
              <w:widowControl/>
              <w:jc w:val="left"/>
              <w:rPr>
                <w:rFonts w:hint="eastAsia" w:ascii="宋体" w:hAnsi="宋体" w:cs="宋体"/>
                <w:kern w:val="0"/>
                <w:sz w:val="21"/>
                <w:szCs w:val="21"/>
              </w:rPr>
            </w:pPr>
            <w:r>
              <w:rPr>
                <w:rFonts w:hint="eastAsia" w:ascii="宋体" w:hAnsi="宋体" w:cs="宋体"/>
                <w:kern w:val="0"/>
                <w:sz w:val="21"/>
                <w:szCs w:val="21"/>
              </w:rPr>
              <w:t>入侵攻击防御</w:t>
            </w:r>
          </w:p>
        </w:tc>
        <w:tc>
          <w:tcPr>
            <w:tcW w:w="5160" w:type="dxa"/>
            <w:shd w:val="clear" w:color="auto" w:fill="auto"/>
            <w:vAlign w:val="center"/>
          </w:tcPr>
          <w:p w14:paraId="49CC3EDC">
            <w:pPr>
              <w:widowControl/>
              <w:jc w:val="left"/>
              <w:rPr>
                <w:rFonts w:hint="eastAsia" w:ascii="宋体" w:hAnsi="宋体" w:cs="宋体"/>
                <w:kern w:val="0"/>
                <w:sz w:val="21"/>
                <w:szCs w:val="21"/>
              </w:rPr>
            </w:pPr>
            <w:r>
              <w:rPr>
                <w:rFonts w:hint="eastAsia" w:ascii="宋体" w:hAnsi="宋体" w:cs="宋体"/>
                <w:kern w:val="0"/>
                <w:sz w:val="21"/>
                <w:szCs w:val="21"/>
              </w:rPr>
              <w:t>支持对跨站脚本（XSS）攻击、SQL注入、文件包含攻击、信息泄露攻击、WEBSHELL、网站扫描、网页木马等攻击类型进行防护。（需提供产品功能截图证明或具备CMA/CNAS标识的第三方检测报告）</w:t>
            </w:r>
          </w:p>
        </w:tc>
      </w:tr>
      <w:tr w14:paraId="6888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43DDF230">
            <w:pPr>
              <w:widowControl/>
              <w:jc w:val="left"/>
              <w:rPr>
                <w:rFonts w:hint="eastAsia" w:ascii="宋体" w:hAnsi="宋体" w:cs="宋体"/>
                <w:kern w:val="0"/>
                <w:sz w:val="21"/>
                <w:szCs w:val="21"/>
              </w:rPr>
            </w:pPr>
          </w:p>
        </w:tc>
        <w:tc>
          <w:tcPr>
            <w:tcW w:w="780" w:type="dxa"/>
            <w:vMerge w:val="continue"/>
            <w:vAlign w:val="center"/>
          </w:tcPr>
          <w:p w14:paraId="34A0E2B2">
            <w:pPr>
              <w:widowControl/>
              <w:jc w:val="left"/>
              <w:rPr>
                <w:rFonts w:hint="eastAsia" w:ascii="宋体" w:hAnsi="宋体" w:cs="宋体"/>
                <w:kern w:val="0"/>
                <w:sz w:val="21"/>
                <w:szCs w:val="21"/>
              </w:rPr>
            </w:pPr>
          </w:p>
        </w:tc>
        <w:tc>
          <w:tcPr>
            <w:tcW w:w="1400" w:type="dxa"/>
            <w:vMerge w:val="continue"/>
            <w:vAlign w:val="center"/>
          </w:tcPr>
          <w:p w14:paraId="1B25968A">
            <w:pPr>
              <w:widowControl/>
              <w:jc w:val="left"/>
              <w:rPr>
                <w:rFonts w:hint="eastAsia" w:ascii="宋体" w:hAnsi="宋体" w:cs="宋体"/>
                <w:kern w:val="0"/>
                <w:sz w:val="21"/>
                <w:szCs w:val="21"/>
              </w:rPr>
            </w:pPr>
          </w:p>
        </w:tc>
        <w:tc>
          <w:tcPr>
            <w:tcW w:w="5160" w:type="dxa"/>
            <w:shd w:val="clear" w:color="auto" w:fill="auto"/>
            <w:vAlign w:val="center"/>
          </w:tcPr>
          <w:p w14:paraId="0C0CF7BD">
            <w:pPr>
              <w:widowControl/>
              <w:jc w:val="left"/>
              <w:rPr>
                <w:rFonts w:hint="eastAsia" w:ascii="宋体" w:hAnsi="宋体" w:cs="宋体"/>
                <w:kern w:val="0"/>
                <w:sz w:val="21"/>
                <w:szCs w:val="21"/>
              </w:rPr>
            </w:pPr>
            <w:r>
              <w:rPr>
                <w:rFonts w:hint="eastAsia" w:ascii="宋体" w:hAnsi="宋体" w:cs="宋体"/>
                <w:kern w:val="0"/>
                <w:sz w:val="21"/>
                <w:szCs w:val="21"/>
              </w:rPr>
              <w:t>产品支持基于IMAP、FTP、RDP、VNC、SSH、TELNET、ORACLE、MYSQL、MSSQL等应用协议进行深度检测与防护。</w:t>
            </w:r>
          </w:p>
        </w:tc>
      </w:tr>
      <w:tr w14:paraId="1AE9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2FB7B26">
            <w:pPr>
              <w:widowControl/>
              <w:jc w:val="left"/>
              <w:rPr>
                <w:rFonts w:hint="eastAsia" w:ascii="宋体" w:hAnsi="宋体" w:cs="宋体"/>
                <w:kern w:val="0"/>
                <w:sz w:val="21"/>
                <w:szCs w:val="21"/>
              </w:rPr>
            </w:pPr>
          </w:p>
        </w:tc>
        <w:tc>
          <w:tcPr>
            <w:tcW w:w="780" w:type="dxa"/>
            <w:vMerge w:val="continue"/>
            <w:vAlign w:val="center"/>
          </w:tcPr>
          <w:p w14:paraId="64B05AF0">
            <w:pPr>
              <w:widowControl/>
              <w:jc w:val="left"/>
              <w:rPr>
                <w:rFonts w:hint="eastAsia" w:ascii="宋体" w:hAnsi="宋体" w:cs="宋体"/>
                <w:kern w:val="0"/>
                <w:sz w:val="21"/>
                <w:szCs w:val="21"/>
              </w:rPr>
            </w:pPr>
          </w:p>
        </w:tc>
        <w:tc>
          <w:tcPr>
            <w:tcW w:w="1400" w:type="dxa"/>
            <w:vMerge w:val="restart"/>
            <w:shd w:val="clear" w:color="auto" w:fill="auto"/>
            <w:vAlign w:val="center"/>
          </w:tcPr>
          <w:p w14:paraId="5C9D85DF">
            <w:pPr>
              <w:widowControl/>
              <w:jc w:val="left"/>
              <w:rPr>
                <w:rFonts w:hint="eastAsia" w:ascii="宋体" w:hAnsi="宋体" w:cs="宋体"/>
                <w:kern w:val="0"/>
                <w:sz w:val="21"/>
                <w:szCs w:val="21"/>
              </w:rPr>
            </w:pPr>
            <w:r>
              <w:rPr>
                <w:rFonts w:hint="eastAsia" w:ascii="宋体" w:hAnsi="宋体" w:cs="宋体"/>
                <w:kern w:val="0"/>
                <w:sz w:val="21"/>
                <w:szCs w:val="21"/>
              </w:rPr>
              <w:t>DDoS防护</w:t>
            </w:r>
          </w:p>
        </w:tc>
        <w:tc>
          <w:tcPr>
            <w:tcW w:w="5160" w:type="dxa"/>
            <w:shd w:val="clear" w:color="auto" w:fill="auto"/>
            <w:vAlign w:val="center"/>
          </w:tcPr>
          <w:p w14:paraId="2225B04D">
            <w:pPr>
              <w:widowControl/>
              <w:jc w:val="left"/>
              <w:rPr>
                <w:rFonts w:hint="eastAsia" w:ascii="宋体" w:hAnsi="宋体" w:cs="宋体"/>
                <w:kern w:val="0"/>
                <w:sz w:val="21"/>
                <w:szCs w:val="21"/>
              </w:rPr>
            </w:pPr>
            <w:r>
              <w:rPr>
                <w:rFonts w:hint="eastAsia" w:ascii="宋体" w:hAnsi="宋体" w:cs="宋体"/>
                <w:kern w:val="0"/>
                <w:sz w:val="21"/>
                <w:szCs w:val="21"/>
              </w:rPr>
              <w:t>产品支持对ICMP、UDP、DNS、SYN等协议进行DDOS防护。</w:t>
            </w:r>
          </w:p>
        </w:tc>
      </w:tr>
      <w:tr w14:paraId="551E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03B72A72">
            <w:pPr>
              <w:widowControl/>
              <w:jc w:val="left"/>
              <w:rPr>
                <w:rFonts w:hint="eastAsia" w:ascii="宋体" w:hAnsi="宋体" w:cs="宋体"/>
                <w:kern w:val="0"/>
                <w:sz w:val="21"/>
                <w:szCs w:val="21"/>
              </w:rPr>
            </w:pPr>
          </w:p>
        </w:tc>
        <w:tc>
          <w:tcPr>
            <w:tcW w:w="780" w:type="dxa"/>
            <w:vMerge w:val="continue"/>
            <w:vAlign w:val="center"/>
          </w:tcPr>
          <w:p w14:paraId="24E41070">
            <w:pPr>
              <w:widowControl/>
              <w:jc w:val="left"/>
              <w:rPr>
                <w:rFonts w:hint="eastAsia" w:ascii="宋体" w:hAnsi="宋体" w:cs="宋体"/>
                <w:kern w:val="0"/>
                <w:sz w:val="21"/>
                <w:szCs w:val="21"/>
              </w:rPr>
            </w:pPr>
          </w:p>
        </w:tc>
        <w:tc>
          <w:tcPr>
            <w:tcW w:w="1400" w:type="dxa"/>
            <w:vMerge w:val="continue"/>
            <w:vAlign w:val="center"/>
          </w:tcPr>
          <w:p w14:paraId="5C5754EE">
            <w:pPr>
              <w:widowControl/>
              <w:jc w:val="left"/>
              <w:rPr>
                <w:rFonts w:hint="eastAsia" w:ascii="宋体" w:hAnsi="宋体" w:cs="宋体"/>
                <w:kern w:val="0"/>
                <w:sz w:val="21"/>
                <w:szCs w:val="21"/>
              </w:rPr>
            </w:pPr>
          </w:p>
        </w:tc>
        <w:tc>
          <w:tcPr>
            <w:tcW w:w="5160" w:type="dxa"/>
            <w:shd w:val="clear" w:color="auto" w:fill="auto"/>
            <w:vAlign w:val="center"/>
          </w:tcPr>
          <w:p w14:paraId="1D6209CD">
            <w:pPr>
              <w:widowControl/>
              <w:jc w:val="left"/>
              <w:rPr>
                <w:rFonts w:hint="eastAsia" w:ascii="宋体" w:hAnsi="宋体" w:cs="宋体"/>
                <w:kern w:val="0"/>
                <w:sz w:val="21"/>
                <w:szCs w:val="21"/>
              </w:rPr>
            </w:pPr>
            <w:r>
              <w:rPr>
                <w:rFonts w:hint="eastAsia" w:ascii="宋体" w:hAnsi="宋体" w:cs="宋体"/>
                <w:kern w:val="0"/>
                <w:sz w:val="21"/>
                <w:szCs w:val="21"/>
              </w:rPr>
              <w:t>产品支持异常数据包攻击防御，防护类型包括IP数据块分片传输防护、Teardrop攻击防护、Smurf攻击防护、Land攻击防护、WinNuke攻击防护等攻击类型。</w:t>
            </w:r>
          </w:p>
        </w:tc>
      </w:tr>
      <w:tr w14:paraId="7AC4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17E13026">
            <w:pPr>
              <w:widowControl/>
              <w:jc w:val="left"/>
              <w:rPr>
                <w:rFonts w:hint="eastAsia" w:ascii="宋体" w:hAnsi="宋体" w:cs="宋体"/>
                <w:kern w:val="0"/>
                <w:sz w:val="21"/>
                <w:szCs w:val="21"/>
              </w:rPr>
            </w:pPr>
          </w:p>
        </w:tc>
        <w:tc>
          <w:tcPr>
            <w:tcW w:w="780" w:type="dxa"/>
            <w:vMerge w:val="continue"/>
            <w:vAlign w:val="center"/>
          </w:tcPr>
          <w:p w14:paraId="3500D129">
            <w:pPr>
              <w:widowControl/>
              <w:jc w:val="left"/>
              <w:rPr>
                <w:rFonts w:hint="eastAsia" w:ascii="宋体" w:hAnsi="宋体" w:cs="宋体"/>
                <w:kern w:val="0"/>
                <w:sz w:val="21"/>
                <w:szCs w:val="21"/>
              </w:rPr>
            </w:pPr>
          </w:p>
        </w:tc>
        <w:tc>
          <w:tcPr>
            <w:tcW w:w="1400" w:type="dxa"/>
            <w:vMerge w:val="restart"/>
            <w:shd w:val="clear" w:color="auto" w:fill="auto"/>
            <w:vAlign w:val="center"/>
          </w:tcPr>
          <w:p w14:paraId="7B64E3F0">
            <w:pPr>
              <w:widowControl/>
              <w:jc w:val="left"/>
              <w:rPr>
                <w:rFonts w:hint="eastAsia" w:ascii="宋体" w:hAnsi="宋体" w:cs="宋体"/>
                <w:kern w:val="0"/>
                <w:sz w:val="21"/>
                <w:szCs w:val="21"/>
              </w:rPr>
            </w:pPr>
            <w:r>
              <w:rPr>
                <w:rFonts w:hint="eastAsia" w:ascii="宋体" w:hAnsi="宋体" w:cs="宋体"/>
                <w:kern w:val="0"/>
                <w:sz w:val="21"/>
                <w:szCs w:val="21"/>
              </w:rPr>
              <w:t>防病毒</w:t>
            </w:r>
          </w:p>
        </w:tc>
        <w:tc>
          <w:tcPr>
            <w:tcW w:w="5160" w:type="dxa"/>
            <w:shd w:val="clear" w:color="auto" w:fill="auto"/>
            <w:vAlign w:val="center"/>
          </w:tcPr>
          <w:p w14:paraId="68896A6B">
            <w:pPr>
              <w:widowControl/>
              <w:jc w:val="left"/>
              <w:rPr>
                <w:rFonts w:hint="eastAsia" w:ascii="宋体" w:hAnsi="宋体" w:cs="宋体"/>
                <w:kern w:val="0"/>
                <w:sz w:val="21"/>
                <w:szCs w:val="21"/>
              </w:rPr>
            </w:pPr>
            <w:r>
              <w:rPr>
                <w:rFonts w:hint="eastAsia" w:ascii="宋体" w:hAnsi="宋体" w:cs="宋体"/>
                <w:kern w:val="0"/>
                <w:sz w:val="21"/>
                <w:szCs w:val="21"/>
              </w:rPr>
              <w:t>产品支持对SMTP、HTTP、FTP、SMB、POP3、HTTPS、IMAP等协议进行病毒防御。</w:t>
            </w:r>
          </w:p>
        </w:tc>
      </w:tr>
      <w:tr w14:paraId="30FD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5C49E0ED">
            <w:pPr>
              <w:widowControl/>
              <w:jc w:val="left"/>
              <w:rPr>
                <w:rFonts w:hint="eastAsia" w:ascii="宋体" w:hAnsi="宋体" w:cs="宋体"/>
                <w:kern w:val="0"/>
                <w:sz w:val="21"/>
                <w:szCs w:val="21"/>
              </w:rPr>
            </w:pPr>
          </w:p>
        </w:tc>
        <w:tc>
          <w:tcPr>
            <w:tcW w:w="780" w:type="dxa"/>
            <w:vMerge w:val="continue"/>
            <w:vAlign w:val="center"/>
          </w:tcPr>
          <w:p w14:paraId="1946BCBE">
            <w:pPr>
              <w:widowControl/>
              <w:jc w:val="left"/>
              <w:rPr>
                <w:rFonts w:hint="eastAsia" w:ascii="宋体" w:hAnsi="宋体" w:cs="宋体"/>
                <w:kern w:val="0"/>
                <w:sz w:val="21"/>
                <w:szCs w:val="21"/>
              </w:rPr>
            </w:pPr>
          </w:p>
        </w:tc>
        <w:tc>
          <w:tcPr>
            <w:tcW w:w="1400" w:type="dxa"/>
            <w:vMerge w:val="continue"/>
            <w:vAlign w:val="center"/>
          </w:tcPr>
          <w:p w14:paraId="49C373EE">
            <w:pPr>
              <w:widowControl/>
              <w:jc w:val="left"/>
              <w:rPr>
                <w:rFonts w:hint="eastAsia" w:ascii="宋体" w:hAnsi="宋体" w:cs="宋体"/>
                <w:kern w:val="0"/>
                <w:sz w:val="21"/>
                <w:szCs w:val="21"/>
              </w:rPr>
            </w:pPr>
          </w:p>
        </w:tc>
        <w:tc>
          <w:tcPr>
            <w:tcW w:w="5160" w:type="dxa"/>
            <w:shd w:val="clear" w:color="auto" w:fill="auto"/>
            <w:vAlign w:val="center"/>
          </w:tcPr>
          <w:p w14:paraId="6A43400F">
            <w:pPr>
              <w:widowControl/>
              <w:jc w:val="left"/>
              <w:rPr>
                <w:rFonts w:hint="eastAsia" w:ascii="宋体" w:hAnsi="宋体" w:cs="宋体"/>
                <w:kern w:val="0"/>
                <w:sz w:val="21"/>
                <w:szCs w:val="21"/>
              </w:rPr>
            </w:pPr>
            <w:r>
              <w:rPr>
                <w:rFonts w:hint="eastAsia" w:ascii="宋体" w:hAnsi="宋体" w:cs="宋体"/>
                <w:kern w:val="0"/>
                <w:sz w:val="21"/>
                <w:szCs w:val="21"/>
              </w:rPr>
              <w:t>产品支持杀毒白名单设置，可以例外排除特定MD5和URL的病毒文件，针对特定文件不进行查杀。</w:t>
            </w:r>
          </w:p>
        </w:tc>
      </w:tr>
      <w:tr w14:paraId="166C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057379BC">
            <w:pPr>
              <w:widowControl/>
              <w:jc w:val="left"/>
              <w:rPr>
                <w:rFonts w:hint="eastAsia" w:ascii="宋体" w:hAnsi="宋体" w:cs="宋体"/>
                <w:kern w:val="0"/>
                <w:sz w:val="21"/>
                <w:szCs w:val="21"/>
              </w:rPr>
            </w:pPr>
          </w:p>
        </w:tc>
        <w:tc>
          <w:tcPr>
            <w:tcW w:w="780" w:type="dxa"/>
            <w:vMerge w:val="continue"/>
            <w:vAlign w:val="center"/>
          </w:tcPr>
          <w:p w14:paraId="3A11DDB1">
            <w:pPr>
              <w:widowControl/>
              <w:jc w:val="left"/>
              <w:rPr>
                <w:rFonts w:hint="eastAsia" w:ascii="宋体" w:hAnsi="宋体" w:cs="宋体"/>
                <w:kern w:val="0"/>
                <w:sz w:val="21"/>
                <w:szCs w:val="21"/>
              </w:rPr>
            </w:pPr>
          </w:p>
        </w:tc>
        <w:tc>
          <w:tcPr>
            <w:tcW w:w="1400" w:type="dxa"/>
            <w:shd w:val="clear" w:color="auto" w:fill="auto"/>
            <w:vAlign w:val="center"/>
          </w:tcPr>
          <w:p w14:paraId="5A729236">
            <w:pPr>
              <w:widowControl/>
              <w:jc w:val="left"/>
              <w:rPr>
                <w:rFonts w:hint="eastAsia" w:ascii="宋体" w:hAnsi="宋体" w:cs="宋体"/>
                <w:kern w:val="0"/>
                <w:sz w:val="21"/>
                <w:szCs w:val="21"/>
              </w:rPr>
            </w:pPr>
            <w:r>
              <w:rPr>
                <w:rFonts w:hint="eastAsia" w:ascii="宋体" w:hAnsi="宋体" w:cs="宋体"/>
                <w:kern w:val="0"/>
                <w:sz w:val="21"/>
                <w:szCs w:val="21"/>
              </w:rPr>
              <w:t>特征库升级</w:t>
            </w:r>
          </w:p>
        </w:tc>
        <w:tc>
          <w:tcPr>
            <w:tcW w:w="5160" w:type="dxa"/>
            <w:shd w:val="clear" w:color="auto" w:fill="auto"/>
            <w:vAlign w:val="center"/>
          </w:tcPr>
          <w:p w14:paraId="78600352">
            <w:pPr>
              <w:widowControl/>
              <w:jc w:val="left"/>
              <w:rPr>
                <w:rFonts w:hint="eastAsia" w:ascii="宋体" w:hAnsi="宋体" w:cs="宋体"/>
                <w:kern w:val="0"/>
                <w:sz w:val="21"/>
                <w:szCs w:val="21"/>
              </w:rPr>
            </w:pPr>
            <w:r>
              <w:rPr>
                <w:rFonts w:hint="eastAsia" w:ascii="宋体" w:hAnsi="宋体" w:cs="宋体"/>
                <w:kern w:val="0"/>
                <w:sz w:val="21"/>
                <w:szCs w:val="21"/>
              </w:rPr>
              <w:t>防病毒、入侵攻击防御功能5年授权及升级服务</w:t>
            </w:r>
          </w:p>
        </w:tc>
      </w:tr>
    </w:tbl>
    <w:p w14:paraId="5602CB55">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3.4.11深圳储能大厦和贵阳北七塔大厦负载均衡共4台</w:t>
      </w:r>
    </w:p>
    <w:tbl>
      <w:tblPr>
        <w:tblStyle w:val="19"/>
        <w:tblW w:w="84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40"/>
        <w:gridCol w:w="1400"/>
        <w:gridCol w:w="5160"/>
      </w:tblGrid>
      <w:tr w14:paraId="61BD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820" w:type="dxa"/>
            <w:shd w:val="clear" w:color="auto" w:fill="auto"/>
            <w:vAlign w:val="bottom"/>
          </w:tcPr>
          <w:p w14:paraId="443F520C">
            <w:pPr>
              <w:widowControl/>
              <w:jc w:val="center"/>
              <w:rPr>
                <w:rFonts w:hint="eastAsia" w:ascii="宋体" w:hAnsi="宋体" w:cs="宋体"/>
                <w:b/>
                <w:bCs/>
                <w:kern w:val="0"/>
                <w:sz w:val="21"/>
                <w:szCs w:val="21"/>
              </w:rPr>
            </w:pPr>
            <w:r>
              <w:rPr>
                <w:rFonts w:hint="eastAsia" w:ascii="宋体" w:hAnsi="宋体" w:cs="宋体"/>
                <w:b/>
                <w:bCs/>
                <w:kern w:val="0"/>
                <w:sz w:val="21"/>
                <w:szCs w:val="21"/>
              </w:rPr>
              <w:t>项目名称</w:t>
            </w:r>
          </w:p>
        </w:tc>
        <w:tc>
          <w:tcPr>
            <w:tcW w:w="1040" w:type="dxa"/>
            <w:shd w:val="clear" w:color="auto" w:fill="auto"/>
            <w:vAlign w:val="center"/>
          </w:tcPr>
          <w:p w14:paraId="4C3B6BDA">
            <w:pPr>
              <w:widowControl/>
              <w:jc w:val="center"/>
              <w:rPr>
                <w:rFonts w:hint="eastAsia" w:ascii="宋体" w:hAnsi="宋体" w:cs="宋体"/>
                <w:b/>
                <w:bCs/>
                <w:kern w:val="0"/>
                <w:sz w:val="21"/>
                <w:szCs w:val="21"/>
              </w:rPr>
            </w:pPr>
            <w:r>
              <w:rPr>
                <w:rFonts w:hint="eastAsia" w:ascii="宋体" w:hAnsi="宋体" w:cs="宋体"/>
                <w:b/>
                <w:bCs/>
                <w:kern w:val="0"/>
                <w:sz w:val="21"/>
                <w:szCs w:val="21"/>
              </w:rPr>
              <w:t>类别</w:t>
            </w:r>
          </w:p>
        </w:tc>
        <w:tc>
          <w:tcPr>
            <w:tcW w:w="1400" w:type="dxa"/>
            <w:shd w:val="clear" w:color="auto" w:fill="auto"/>
            <w:vAlign w:val="center"/>
          </w:tcPr>
          <w:p w14:paraId="1EA56DB4">
            <w:pPr>
              <w:widowControl/>
              <w:jc w:val="left"/>
              <w:rPr>
                <w:rFonts w:hint="eastAsia" w:ascii="宋体" w:hAnsi="宋体" w:cs="宋体"/>
                <w:b/>
                <w:bCs/>
                <w:kern w:val="0"/>
                <w:sz w:val="21"/>
                <w:szCs w:val="21"/>
              </w:rPr>
            </w:pPr>
            <w:r>
              <w:rPr>
                <w:rFonts w:hint="eastAsia" w:ascii="宋体" w:hAnsi="宋体" w:cs="宋体"/>
                <w:b/>
                <w:bCs/>
                <w:kern w:val="0"/>
                <w:sz w:val="21"/>
                <w:szCs w:val="21"/>
              </w:rPr>
              <w:t>要求项</w:t>
            </w:r>
          </w:p>
        </w:tc>
        <w:tc>
          <w:tcPr>
            <w:tcW w:w="5160" w:type="dxa"/>
            <w:shd w:val="clear" w:color="auto" w:fill="auto"/>
            <w:vAlign w:val="center"/>
          </w:tcPr>
          <w:p w14:paraId="4B6E4E42">
            <w:pPr>
              <w:widowControl/>
              <w:jc w:val="center"/>
              <w:rPr>
                <w:rFonts w:hint="eastAsia" w:ascii="宋体" w:hAnsi="宋体" w:cs="宋体"/>
                <w:b/>
                <w:bCs/>
                <w:kern w:val="0"/>
                <w:sz w:val="21"/>
                <w:szCs w:val="21"/>
              </w:rPr>
            </w:pPr>
            <w:r>
              <w:rPr>
                <w:rFonts w:hint="eastAsia" w:ascii="宋体" w:hAnsi="宋体" w:cs="宋体"/>
                <w:b/>
                <w:bCs/>
                <w:kern w:val="0"/>
                <w:sz w:val="21"/>
                <w:szCs w:val="21"/>
              </w:rPr>
              <w:t>要求明细</w:t>
            </w:r>
          </w:p>
        </w:tc>
      </w:tr>
      <w:tr w14:paraId="2FC6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restart"/>
            <w:shd w:val="clear" w:color="auto" w:fill="auto"/>
            <w:vAlign w:val="center"/>
          </w:tcPr>
          <w:p w14:paraId="2E6EA1EF">
            <w:pPr>
              <w:widowControl/>
              <w:jc w:val="center"/>
              <w:rPr>
                <w:rFonts w:hint="eastAsia" w:ascii="宋体" w:hAnsi="宋体" w:cs="宋体"/>
                <w:kern w:val="0"/>
                <w:sz w:val="21"/>
                <w:szCs w:val="21"/>
              </w:rPr>
            </w:pPr>
            <w:r>
              <w:rPr>
                <w:rFonts w:hint="eastAsia" w:ascii="宋体" w:hAnsi="宋体" w:cs="宋体"/>
                <w:kern w:val="0"/>
                <w:sz w:val="21"/>
                <w:szCs w:val="21"/>
              </w:rPr>
              <w:t>IDC网络设备升级项目三期</w:t>
            </w:r>
          </w:p>
        </w:tc>
        <w:tc>
          <w:tcPr>
            <w:tcW w:w="1040" w:type="dxa"/>
            <w:vMerge w:val="restart"/>
            <w:shd w:val="clear" w:color="auto" w:fill="auto"/>
            <w:vAlign w:val="center"/>
          </w:tcPr>
          <w:p w14:paraId="65471FA5">
            <w:pPr>
              <w:widowControl/>
              <w:jc w:val="center"/>
              <w:rPr>
                <w:rFonts w:hint="eastAsia" w:ascii="宋体" w:hAnsi="宋体" w:cs="宋体"/>
                <w:kern w:val="0"/>
                <w:sz w:val="21"/>
                <w:szCs w:val="21"/>
              </w:rPr>
            </w:pPr>
            <w:r>
              <w:rPr>
                <w:rFonts w:hint="eastAsia" w:ascii="宋体" w:hAnsi="宋体" w:cs="宋体"/>
                <w:kern w:val="0"/>
                <w:sz w:val="21"/>
                <w:szCs w:val="21"/>
              </w:rPr>
              <w:t>★基础要求</w:t>
            </w:r>
          </w:p>
        </w:tc>
        <w:tc>
          <w:tcPr>
            <w:tcW w:w="1400" w:type="dxa"/>
            <w:shd w:val="clear" w:color="auto" w:fill="auto"/>
            <w:vAlign w:val="center"/>
          </w:tcPr>
          <w:p w14:paraId="7495E444">
            <w:pPr>
              <w:widowControl/>
              <w:jc w:val="left"/>
              <w:rPr>
                <w:rFonts w:hint="eastAsia" w:ascii="宋体" w:hAnsi="宋体" w:cs="宋体"/>
                <w:kern w:val="0"/>
                <w:sz w:val="21"/>
                <w:szCs w:val="21"/>
              </w:rPr>
            </w:pPr>
            <w:r>
              <w:rPr>
                <w:rFonts w:hint="eastAsia" w:ascii="宋体" w:hAnsi="宋体" w:cs="宋体"/>
                <w:kern w:val="0"/>
                <w:sz w:val="21"/>
                <w:szCs w:val="21"/>
              </w:rPr>
              <w:t>信创要求</w:t>
            </w:r>
          </w:p>
        </w:tc>
        <w:tc>
          <w:tcPr>
            <w:tcW w:w="5160" w:type="dxa"/>
            <w:shd w:val="clear" w:color="000000" w:fill="FFFFFF"/>
            <w:vAlign w:val="bottom"/>
          </w:tcPr>
          <w:p w14:paraId="3562F10D">
            <w:pPr>
              <w:widowControl/>
              <w:jc w:val="left"/>
              <w:rPr>
                <w:rFonts w:hint="eastAsia" w:ascii="宋体" w:hAnsi="宋体" w:cs="宋体"/>
                <w:kern w:val="0"/>
                <w:sz w:val="21"/>
                <w:szCs w:val="21"/>
              </w:rPr>
            </w:pPr>
            <w:r>
              <w:rPr>
                <w:rFonts w:hint="eastAsia" w:ascii="宋体" w:hAnsi="宋体" w:cs="宋体"/>
                <w:kern w:val="0"/>
                <w:sz w:val="21"/>
                <w:szCs w:val="21"/>
              </w:rPr>
              <w:t>满足信创要求，使用国产芯片和国产操作系统</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6B54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56CD1BE">
            <w:pPr>
              <w:widowControl/>
              <w:jc w:val="left"/>
              <w:rPr>
                <w:rFonts w:hint="eastAsia" w:ascii="宋体" w:hAnsi="宋体" w:cs="宋体"/>
                <w:kern w:val="0"/>
                <w:sz w:val="21"/>
                <w:szCs w:val="21"/>
              </w:rPr>
            </w:pPr>
          </w:p>
        </w:tc>
        <w:tc>
          <w:tcPr>
            <w:tcW w:w="1040" w:type="dxa"/>
            <w:vMerge w:val="continue"/>
            <w:vAlign w:val="center"/>
          </w:tcPr>
          <w:p w14:paraId="1AB7622F">
            <w:pPr>
              <w:widowControl/>
              <w:jc w:val="left"/>
              <w:rPr>
                <w:rFonts w:hint="eastAsia" w:ascii="宋体" w:hAnsi="宋体" w:cs="宋体"/>
                <w:kern w:val="0"/>
                <w:sz w:val="21"/>
                <w:szCs w:val="21"/>
              </w:rPr>
            </w:pPr>
          </w:p>
        </w:tc>
        <w:tc>
          <w:tcPr>
            <w:tcW w:w="1400" w:type="dxa"/>
            <w:shd w:val="clear" w:color="auto" w:fill="auto"/>
            <w:vAlign w:val="center"/>
          </w:tcPr>
          <w:p w14:paraId="083E57BB">
            <w:pPr>
              <w:widowControl/>
              <w:jc w:val="left"/>
              <w:rPr>
                <w:rFonts w:hint="eastAsia" w:ascii="宋体" w:hAnsi="宋体" w:cs="宋体"/>
                <w:kern w:val="0"/>
                <w:sz w:val="21"/>
                <w:szCs w:val="21"/>
              </w:rPr>
            </w:pPr>
            <w:r>
              <w:rPr>
                <w:rFonts w:hint="eastAsia" w:ascii="宋体" w:hAnsi="宋体" w:cs="宋体"/>
                <w:kern w:val="0"/>
                <w:sz w:val="21"/>
                <w:szCs w:val="21"/>
              </w:rPr>
              <w:t>案例要求</w:t>
            </w:r>
          </w:p>
        </w:tc>
        <w:tc>
          <w:tcPr>
            <w:tcW w:w="5160" w:type="dxa"/>
            <w:shd w:val="clear" w:color="auto" w:fill="auto"/>
            <w:vAlign w:val="bottom"/>
          </w:tcPr>
          <w:p w14:paraId="5AB84C51">
            <w:pPr>
              <w:widowControl/>
              <w:jc w:val="left"/>
              <w:rPr>
                <w:rFonts w:hint="eastAsia" w:ascii="宋体" w:hAnsi="宋体" w:cs="宋体"/>
                <w:kern w:val="0"/>
                <w:sz w:val="21"/>
                <w:szCs w:val="21"/>
              </w:rPr>
            </w:pPr>
            <w:r>
              <w:rPr>
                <w:rFonts w:hint="eastAsia" w:ascii="宋体" w:hAnsi="宋体" w:cs="宋体"/>
                <w:kern w:val="0"/>
                <w:sz w:val="21"/>
                <w:szCs w:val="21"/>
              </w:rPr>
              <w:t>提供所投型号系列在证券行业的案例（提供证明材料）</w:t>
            </w:r>
          </w:p>
        </w:tc>
      </w:tr>
      <w:tr w14:paraId="6980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2882AC20">
            <w:pPr>
              <w:widowControl/>
              <w:jc w:val="left"/>
              <w:rPr>
                <w:rFonts w:hint="eastAsia" w:ascii="宋体" w:hAnsi="宋体" w:cs="宋体"/>
                <w:kern w:val="0"/>
                <w:sz w:val="21"/>
                <w:szCs w:val="21"/>
              </w:rPr>
            </w:pPr>
          </w:p>
        </w:tc>
        <w:tc>
          <w:tcPr>
            <w:tcW w:w="1040" w:type="dxa"/>
            <w:vMerge w:val="continue"/>
            <w:vAlign w:val="center"/>
          </w:tcPr>
          <w:p w14:paraId="381213D4">
            <w:pPr>
              <w:widowControl/>
              <w:jc w:val="left"/>
              <w:rPr>
                <w:rFonts w:hint="eastAsia" w:ascii="宋体" w:hAnsi="宋体" w:cs="宋体"/>
                <w:kern w:val="0"/>
                <w:sz w:val="21"/>
                <w:szCs w:val="21"/>
              </w:rPr>
            </w:pPr>
          </w:p>
        </w:tc>
        <w:tc>
          <w:tcPr>
            <w:tcW w:w="1400" w:type="dxa"/>
            <w:shd w:val="clear" w:color="auto" w:fill="auto"/>
            <w:vAlign w:val="bottom"/>
          </w:tcPr>
          <w:p w14:paraId="288F7B71">
            <w:pPr>
              <w:widowControl/>
              <w:jc w:val="left"/>
              <w:rPr>
                <w:rFonts w:hint="eastAsia" w:ascii="宋体" w:hAnsi="宋体" w:cs="宋体"/>
                <w:kern w:val="0"/>
                <w:sz w:val="21"/>
                <w:szCs w:val="21"/>
              </w:rPr>
            </w:pPr>
            <w:r>
              <w:rPr>
                <w:rFonts w:hint="eastAsia" w:ascii="宋体" w:hAnsi="宋体" w:cs="宋体"/>
                <w:kern w:val="0"/>
                <w:sz w:val="21"/>
                <w:szCs w:val="21"/>
              </w:rPr>
              <w:t>品牌要求</w:t>
            </w:r>
          </w:p>
        </w:tc>
        <w:tc>
          <w:tcPr>
            <w:tcW w:w="5160" w:type="dxa"/>
            <w:shd w:val="clear" w:color="auto" w:fill="auto"/>
            <w:vAlign w:val="bottom"/>
          </w:tcPr>
          <w:p w14:paraId="237F6635">
            <w:pPr>
              <w:widowControl/>
              <w:jc w:val="left"/>
              <w:rPr>
                <w:rFonts w:hint="eastAsia" w:ascii="宋体" w:hAnsi="宋体" w:cs="宋体"/>
                <w:kern w:val="0"/>
                <w:sz w:val="21"/>
                <w:szCs w:val="21"/>
              </w:rPr>
            </w:pPr>
            <w:r>
              <w:rPr>
                <w:rFonts w:hint="eastAsia" w:ascii="宋体" w:hAnsi="宋体" w:cs="宋体"/>
                <w:kern w:val="0"/>
                <w:sz w:val="21"/>
                <w:szCs w:val="21"/>
              </w:rPr>
              <w:t>要求与职场防火墙使用同一品牌</w:t>
            </w:r>
          </w:p>
        </w:tc>
      </w:tr>
      <w:tr w14:paraId="3701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E9F64B2">
            <w:pPr>
              <w:widowControl/>
              <w:jc w:val="left"/>
              <w:rPr>
                <w:rFonts w:hint="eastAsia" w:ascii="宋体" w:hAnsi="宋体" w:cs="宋体"/>
                <w:kern w:val="0"/>
                <w:sz w:val="21"/>
                <w:szCs w:val="21"/>
              </w:rPr>
            </w:pPr>
          </w:p>
        </w:tc>
        <w:tc>
          <w:tcPr>
            <w:tcW w:w="1040" w:type="dxa"/>
            <w:vMerge w:val="continue"/>
            <w:vAlign w:val="center"/>
          </w:tcPr>
          <w:p w14:paraId="13E6C334">
            <w:pPr>
              <w:widowControl/>
              <w:jc w:val="left"/>
              <w:rPr>
                <w:rFonts w:hint="eastAsia" w:ascii="宋体" w:hAnsi="宋体" w:cs="宋体"/>
                <w:kern w:val="0"/>
                <w:sz w:val="21"/>
                <w:szCs w:val="21"/>
              </w:rPr>
            </w:pPr>
          </w:p>
        </w:tc>
        <w:tc>
          <w:tcPr>
            <w:tcW w:w="1400" w:type="dxa"/>
            <w:shd w:val="clear" w:color="auto" w:fill="auto"/>
            <w:vAlign w:val="center"/>
          </w:tcPr>
          <w:p w14:paraId="16DB60C2">
            <w:pPr>
              <w:widowControl/>
              <w:jc w:val="left"/>
              <w:rPr>
                <w:rFonts w:hint="eastAsia" w:ascii="宋体" w:hAnsi="宋体" w:cs="宋体"/>
                <w:kern w:val="0"/>
                <w:sz w:val="21"/>
                <w:szCs w:val="21"/>
              </w:rPr>
            </w:pPr>
            <w:r>
              <w:rPr>
                <w:rFonts w:hint="eastAsia" w:ascii="宋体" w:hAnsi="宋体" w:cs="宋体"/>
                <w:kern w:val="0"/>
                <w:sz w:val="21"/>
                <w:szCs w:val="21"/>
              </w:rPr>
              <w:t>性能参数</w:t>
            </w:r>
          </w:p>
        </w:tc>
        <w:tc>
          <w:tcPr>
            <w:tcW w:w="5160" w:type="dxa"/>
            <w:shd w:val="clear" w:color="000000" w:fill="FFFFFF"/>
            <w:vAlign w:val="center"/>
          </w:tcPr>
          <w:p w14:paraId="791BB529">
            <w:pPr>
              <w:widowControl/>
              <w:jc w:val="left"/>
              <w:rPr>
                <w:rFonts w:hint="eastAsia" w:ascii="宋体" w:hAnsi="宋体" w:cs="宋体"/>
                <w:kern w:val="0"/>
                <w:sz w:val="21"/>
                <w:szCs w:val="21"/>
              </w:rPr>
            </w:pPr>
            <w:r>
              <w:rPr>
                <w:rFonts w:hint="eastAsia" w:ascii="宋体" w:hAnsi="宋体" w:cs="宋体"/>
                <w:kern w:val="0"/>
                <w:sz w:val="21"/>
                <w:szCs w:val="21"/>
              </w:rPr>
              <w:t>4层吞吐量 （默认网口）≥20G；4层并发连接数≥2000W；4层新建连接数 CPS≥25W；7层新建连接数 RPS≥30W；</w:t>
            </w:r>
          </w:p>
        </w:tc>
      </w:tr>
      <w:tr w14:paraId="3E35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CF0F554">
            <w:pPr>
              <w:widowControl/>
              <w:jc w:val="left"/>
              <w:rPr>
                <w:rFonts w:hint="eastAsia" w:ascii="宋体" w:hAnsi="宋体" w:cs="宋体"/>
                <w:kern w:val="0"/>
                <w:sz w:val="21"/>
                <w:szCs w:val="21"/>
              </w:rPr>
            </w:pPr>
          </w:p>
        </w:tc>
        <w:tc>
          <w:tcPr>
            <w:tcW w:w="1040" w:type="dxa"/>
            <w:vMerge w:val="continue"/>
            <w:vAlign w:val="center"/>
          </w:tcPr>
          <w:p w14:paraId="23009266">
            <w:pPr>
              <w:widowControl/>
              <w:jc w:val="left"/>
              <w:rPr>
                <w:rFonts w:hint="eastAsia" w:ascii="宋体" w:hAnsi="宋体" w:cs="宋体"/>
                <w:kern w:val="0"/>
                <w:sz w:val="21"/>
                <w:szCs w:val="21"/>
              </w:rPr>
            </w:pPr>
          </w:p>
        </w:tc>
        <w:tc>
          <w:tcPr>
            <w:tcW w:w="1400" w:type="dxa"/>
            <w:shd w:val="clear" w:color="auto" w:fill="auto"/>
            <w:vAlign w:val="center"/>
          </w:tcPr>
          <w:p w14:paraId="67FD28B2">
            <w:pPr>
              <w:widowControl/>
              <w:jc w:val="left"/>
              <w:rPr>
                <w:rFonts w:hint="eastAsia" w:ascii="宋体" w:hAnsi="宋体" w:cs="宋体"/>
                <w:kern w:val="0"/>
                <w:sz w:val="21"/>
                <w:szCs w:val="21"/>
              </w:rPr>
            </w:pPr>
            <w:r>
              <w:rPr>
                <w:rFonts w:hint="eastAsia" w:ascii="宋体" w:hAnsi="宋体" w:cs="宋体"/>
                <w:kern w:val="0"/>
                <w:sz w:val="21"/>
                <w:szCs w:val="21"/>
              </w:rPr>
              <w:t>维保要求</w:t>
            </w:r>
          </w:p>
        </w:tc>
        <w:tc>
          <w:tcPr>
            <w:tcW w:w="5160" w:type="dxa"/>
            <w:shd w:val="clear" w:color="auto" w:fill="auto"/>
            <w:vAlign w:val="center"/>
          </w:tcPr>
          <w:p w14:paraId="760F261A">
            <w:pPr>
              <w:widowControl/>
              <w:jc w:val="left"/>
              <w:rPr>
                <w:rFonts w:hint="eastAsia" w:ascii="宋体" w:hAnsi="宋体" w:cs="宋体"/>
                <w:kern w:val="0"/>
                <w:sz w:val="21"/>
                <w:szCs w:val="21"/>
              </w:rPr>
            </w:pPr>
            <w:r>
              <w:rPr>
                <w:rFonts w:hint="eastAsia" w:ascii="宋体" w:hAnsi="宋体" w:cs="宋体"/>
                <w:kern w:val="0"/>
                <w:sz w:val="21"/>
                <w:szCs w:val="21"/>
              </w:rPr>
              <w:t>所有设备包含5年原厂维保服务</w:t>
            </w:r>
          </w:p>
        </w:tc>
      </w:tr>
      <w:tr w14:paraId="3D45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20" w:type="dxa"/>
            <w:vMerge w:val="continue"/>
            <w:vAlign w:val="center"/>
          </w:tcPr>
          <w:p w14:paraId="2D3F78CB">
            <w:pPr>
              <w:widowControl/>
              <w:jc w:val="left"/>
              <w:rPr>
                <w:rFonts w:hint="eastAsia" w:ascii="宋体" w:hAnsi="宋体" w:cs="宋体"/>
                <w:kern w:val="0"/>
                <w:sz w:val="21"/>
                <w:szCs w:val="21"/>
              </w:rPr>
            </w:pPr>
          </w:p>
        </w:tc>
        <w:tc>
          <w:tcPr>
            <w:tcW w:w="1040" w:type="dxa"/>
            <w:vMerge w:val="continue"/>
            <w:vAlign w:val="center"/>
          </w:tcPr>
          <w:p w14:paraId="7709DBDC">
            <w:pPr>
              <w:widowControl/>
              <w:jc w:val="left"/>
              <w:rPr>
                <w:rFonts w:hint="eastAsia" w:ascii="宋体" w:hAnsi="宋体" w:cs="宋体"/>
                <w:kern w:val="0"/>
                <w:sz w:val="21"/>
                <w:szCs w:val="21"/>
              </w:rPr>
            </w:pPr>
          </w:p>
        </w:tc>
        <w:tc>
          <w:tcPr>
            <w:tcW w:w="1400" w:type="dxa"/>
            <w:shd w:val="clear" w:color="auto" w:fill="auto"/>
            <w:vAlign w:val="bottom"/>
          </w:tcPr>
          <w:p w14:paraId="50447823">
            <w:pPr>
              <w:widowControl/>
              <w:jc w:val="left"/>
              <w:rPr>
                <w:rFonts w:hint="eastAsia" w:ascii="宋体" w:hAnsi="宋体" w:cs="宋体"/>
                <w:kern w:val="0"/>
                <w:sz w:val="21"/>
                <w:szCs w:val="21"/>
              </w:rPr>
            </w:pPr>
            <w:r>
              <w:rPr>
                <w:rFonts w:hint="eastAsia" w:ascii="宋体" w:hAnsi="宋体" w:cs="宋体"/>
                <w:kern w:val="0"/>
                <w:sz w:val="21"/>
                <w:szCs w:val="21"/>
              </w:rPr>
              <w:t>线路接入能力</w:t>
            </w:r>
          </w:p>
        </w:tc>
        <w:tc>
          <w:tcPr>
            <w:tcW w:w="5160" w:type="dxa"/>
            <w:shd w:val="clear" w:color="auto" w:fill="auto"/>
            <w:vAlign w:val="bottom"/>
          </w:tcPr>
          <w:p w14:paraId="6DC1C23C">
            <w:pPr>
              <w:widowControl/>
              <w:jc w:val="left"/>
              <w:rPr>
                <w:rFonts w:hint="eastAsia" w:ascii="宋体" w:hAnsi="宋体" w:cs="宋体"/>
                <w:kern w:val="0"/>
                <w:sz w:val="21"/>
                <w:szCs w:val="21"/>
              </w:rPr>
            </w:pPr>
            <w:r>
              <w:rPr>
                <w:rFonts w:hint="eastAsia" w:ascii="宋体" w:hAnsi="宋体" w:cs="宋体"/>
                <w:kern w:val="0"/>
                <w:sz w:val="21"/>
                <w:szCs w:val="21"/>
              </w:rPr>
              <w:t>支持3条及以上互联网线路接入，并能实现智能选路。</w:t>
            </w:r>
            <w:r>
              <w:rPr>
                <w:rFonts w:hint="eastAsia" w:ascii="宋体" w:hAnsi="宋体" w:cs="宋体"/>
                <w:kern w:val="0"/>
                <w:sz w:val="21"/>
                <w:szCs w:val="21"/>
              </w:rPr>
              <w:br w:type="textWrapping"/>
            </w:r>
            <w:r>
              <w:rPr>
                <w:rFonts w:hint="eastAsia" w:ascii="宋体" w:hAnsi="宋体" w:cs="宋体"/>
                <w:kern w:val="0"/>
                <w:sz w:val="21"/>
                <w:szCs w:val="21"/>
              </w:rPr>
              <w:t>（当一条线路拥塞时，可能自动切换到另一条线路）</w:t>
            </w:r>
          </w:p>
        </w:tc>
      </w:tr>
      <w:tr w14:paraId="2959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820" w:type="dxa"/>
            <w:vMerge w:val="continue"/>
            <w:vAlign w:val="center"/>
          </w:tcPr>
          <w:p w14:paraId="2B1CA0B7">
            <w:pPr>
              <w:widowControl/>
              <w:jc w:val="left"/>
              <w:rPr>
                <w:rFonts w:hint="eastAsia" w:ascii="宋体" w:hAnsi="宋体" w:cs="宋体"/>
                <w:kern w:val="0"/>
                <w:sz w:val="21"/>
                <w:szCs w:val="21"/>
              </w:rPr>
            </w:pPr>
          </w:p>
        </w:tc>
        <w:tc>
          <w:tcPr>
            <w:tcW w:w="1040" w:type="dxa"/>
            <w:vMerge w:val="continue"/>
            <w:vAlign w:val="center"/>
          </w:tcPr>
          <w:p w14:paraId="044E4DF9">
            <w:pPr>
              <w:widowControl/>
              <w:jc w:val="left"/>
              <w:rPr>
                <w:rFonts w:hint="eastAsia" w:ascii="宋体" w:hAnsi="宋体" w:cs="宋体"/>
                <w:kern w:val="0"/>
                <w:sz w:val="21"/>
                <w:szCs w:val="21"/>
              </w:rPr>
            </w:pPr>
          </w:p>
        </w:tc>
        <w:tc>
          <w:tcPr>
            <w:tcW w:w="1400" w:type="dxa"/>
            <w:shd w:val="clear" w:color="auto" w:fill="auto"/>
            <w:vAlign w:val="center"/>
          </w:tcPr>
          <w:p w14:paraId="4B11F37E">
            <w:pPr>
              <w:widowControl/>
              <w:jc w:val="left"/>
              <w:rPr>
                <w:rFonts w:hint="eastAsia" w:ascii="宋体" w:hAnsi="宋体" w:cs="宋体"/>
                <w:kern w:val="0"/>
                <w:sz w:val="21"/>
                <w:szCs w:val="21"/>
              </w:rPr>
            </w:pPr>
            <w:r>
              <w:rPr>
                <w:rFonts w:hint="eastAsia" w:ascii="宋体" w:hAnsi="宋体" w:cs="宋体"/>
                <w:kern w:val="0"/>
                <w:sz w:val="21"/>
                <w:szCs w:val="21"/>
              </w:rPr>
              <w:t>端口要求</w:t>
            </w:r>
          </w:p>
        </w:tc>
        <w:tc>
          <w:tcPr>
            <w:tcW w:w="5160" w:type="dxa"/>
            <w:shd w:val="clear" w:color="auto" w:fill="auto"/>
            <w:vAlign w:val="center"/>
          </w:tcPr>
          <w:p w14:paraId="0AB6FECB">
            <w:pPr>
              <w:widowControl/>
              <w:jc w:val="left"/>
              <w:rPr>
                <w:rFonts w:hint="eastAsia" w:ascii="宋体" w:hAnsi="宋体" w:cs="宋体"/>
                <w:kern w:val="0"/>
                <w:sz w:val="21"/>
                <w:szCs w:val="21"/>
              </w:rPr>
            </w:pPr>
            <w:r>
              <w:rPr>
                <w:rFonts w:hint="eastAsia" w:ascii="宋体" w:hAnsi="宋体" w:cs="宋体"/>
                <w:kern w:val="0"/>
                <w:sz w:val="21"/>
                <w:szCs w:val="21"/>
              </w:rPr>
              <w:t>提供不少于4千兆电口，4千兆光口的接口。</w:t>
            </w:r>
            <w:r>
              <w:rPr>
                <w:rFonts w:hint="eastAsia" w:ascii="宋体" w:hAnsi="宋体" w:cs="宋体"/>
                <w:kern w:val="0"/>
                <w:sz w:val="21"/>
                <w:szCs w:val="21"/>
              </w:rPr>
              <w:br w:type="textWrapping"/>
            </w:r>
            <w:r>
              <w:rPr>
                <w:rFonts w:hint="eastAsia" w:ascii="宋体" w:hAnsi="宋体" w:cs="宋体"/>
                <w:kern w:val="0"/>
                <w:sz w:val="21"/>
                <w:szCs w:val="21"/>
              </w:rPr>
              <w:t>（提供证明材料，如官网截图、产品彩页截图、第三方报告等）</w:t>
            </w:r>
          </w:p>
        </w:tc>
      </w:tr>
      <w:tr w14:paraId="5C40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688F6AB8">
            <w:pPr>
              <w:widowControl/>
              <w:jc w:val="left"/>
              <w:rPr>
                <w:rFonts w:hint="eastAsia" w:ascii="宋体" w:hAnsi="宋体" w:cs="宋体"/>
                <w:kern w:val="0"/>
                <w:sz w:val="21"/>
                <w:szCs w:val="21"/>
              </w:rPr>
            </w:pPr>
          </w:p>
        </w:tc>
        <w:tc>
          <w:tcPr>
            <w:tcW w:w="1040" w:type="dxa"/>
            <w:vMerge w:val="continue"/>
            <w:vAlign w:val="center"/>
          </w:tcPr>
          <w:p w14:paraId="60FDF653">
            <w:pPr>
              <w:widowControl/>
              <w:jc w:val="left"/>
              <w:rPr>
                <w:rFonts w:hint="eastAsia" w:ascii="宋体" w:hAnsi="宋体" w:cs="宋体"/>
                <w:kern w:val="0"/>
                <w:sz w:val="21"/>
                <w:szCs w:val="21"/>
              </w:rPr>
            </w:pPr>
          </w:p>
        </w:tc>
        <w:tc>
          <w:tcPr>
            <w:tcW w:w="1400" w:type="dxa"/>
            <w:vMerge w:val="restart"/>
            <w:shd w:val="clear" w:color="auto" w:fill="auto"/>
            <w:vAlign w:val="center"/>
          </w:tcPr>
          <w:p w14:paraId="09DFB40F">
            <w:pPr>
              <w:widowControl/>
              <w:jc w:val="left"/>
              <w:rPr>
                <w:rFonts w:hint="eastAsia" w:ascii="宋体" w:hAnsi="宋体" w:cs="宋体"/>
                <w:kern w:val="0"/>
                <w:sz w:val="21"/>
                <w:szCs w:val="21"/>
              </w:rPr>
            </w:pPr>
            <w:r>
              <w:rPr>
                <w:rFonts w:hint="eastAsia" w:ascii="宋体" w:hAnsi="宋体" w:cs="宋体"/>
                <w:kern w:val="0"/>
                <w:sz w:val="21"/>
                <w:szCs w:val="21"/>
              </w:rPr>
              <w:t>硬件规格</w:t>
            </w:r>
          </w:p>
        </w:tc>
        <w:tc>
          <w:tcPr>
            <w:tcW w:w="5160" w:type="dxa"/>
            <w:shd w:val="clear" w:color="auto" w:fill="auto"/>
            <w:vAlign w:val="center"/>
          </w:tcPr>
          <w:p w14:paraId="660B581F">
            <w:pPr>
              <w:widowControl/>
              <w:jc w:val="left"/>
              <w:rPr>
                <w:rFonts w:hint="eastAsia" w:ascii="宋体" w:hAnsi="宋体" w:cs="宋体"/>
                <w:kern w:val="0"/>
                <w:sz w:val="21"/>
                <w:szCs w:val="21"/>
              </w:rPr>
            </w:pPr>
            <w:r>
              <w:rPr>
                <w:rFonts w:hint="eastAsia" w:ascii="宋体" w:hAnsi="宋体" w:cs="宋体"/>
                <w:kern w:val="0"/>
                <w:sz w:val="21"/>
                <w:szCs w:val="21"/>
              </w:rPr>
              <w:t>内存≥16GB</w:t>
            </w:r>
          </w:p>
        </w:tc>
      </w:tr>
      <w:tr w14:paraId="0FFC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4226435">
            <w:pPr>
              <w:widowControl/>
              <w:jc w:val="left"/>
              <w:rPr>
                <w:rFonts w:hint="eastAsia" w:ascii="宋体" w:hAnsi="宋体" w:cs="宋体"/>
                <w:kern w:val="0"/>
                <w:sz w:val="21"/>
                <w:szCs w:val="21"/>
              </w:rPr>
            </w:pPr>
          </w:p>
        </w:tc>
        <w:tc>
          <w:tcPr>
            <w:tcW w:w="1040" w:type="dxa"/>
            <w:vMerge w:val="continue"/>
            <w:vAlign w:val="center"/>
          </w:tcPr>
          <w:p w14:paraId="266B197A">
            <w:pPr>
              <w:widowControl/>
              <w:jc w:val="left"/>
              <w:rPr>
                <w:rFonts w:hint="eastAsia" w:ascii="宋体" w:hAnsi="宋体" w:cs="宋体"/>
                <w:kern w:val="0"/>
                <w:sz w:val="21"/>
                <w:szCs w:val="21"/>
              </w:rPr>
            </w:pPr>
          </w:p>
        </w:tc>
        <w:tc>
          <w:tcPr>
            <w:tcW w:w="1400" w:type="dxa"/>
            <w:vMerge w:val="continue"/>
            <w:vAlign w:val="center"/>
          </w:tcPr>
          <w:p w14:paraId="75BD1716">
            <w:pPr>
              <w:widowControl/>
              <w:jc w:val="left"/>
              <w:rPr>
                <w:rFonts w:hint="eastAsia" w:ascii="宋体" w:hAnsi="宋体" w:cs="宋体"/>
                <w:kern w:val="0"/>
                <w:sz w:val="21"/>
                <w:szCs w:val="21"/>
              </w:rPr>
            </w:pPr>
          </w:p>
        </w:tc>
        <w:tc>
          <w:tcPr>
            <w:tcW w:w="5160" w:type="dxa"/>
            <w:shd w:val="clear" w:color="auto" w:fill="auto"/>
            <w:vAlign w:val="center"/>
          </w:tcPr>
          <w:p w14:paraId="722BA8EA">
            <w:pPr>
              <w:widowControl/>
              <w:jc w:val="left"/>
              <w:rPr>
                <w:rFonts w:hint="eastAsia" w:ascii="宋体" w:hAnsi="宋体" w:cs="宋体"/>
                <w:kern w:val="0"/>
                <w:sz w:val="21"/>
                <w:szCs w:val="21"/>
              </w:rPr>
            </w:pPr>
            <w:r>
              <w:rPr>
                <w:rFonts w:hint="eastAsia" w:ascii="宋体" w:hAnsi="宋体" w:cs="宋体"/>
                <w:kern w:val="0"/>
                <w:sz w:val="21"/>
                <w:szCs w:val="21"/>
              </w:rPr>
              <w:t>硬盘容量≥480G SSD</w:t>
            </w:r>
          </w:p>
        </w:tc>
      </w:tr>
      <w:tr w14:paraId="2536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5532006F">
            <w:pPr>
              <w:widowControl/>
              <w:jc w:val="left"/>
              <w:rPr>
                <w:rFonts w:hint="eastAsia" w:ascii="宋体" w:hAnsi="宋体" w:cs="宋体"/>
                <w:kern w:val="0"/>
                <w:sz w:val="21"/>
                <w:szCs w:val="21"/>
              </w:rPr>
            </w:pPr>
          </w:p>
        </w:tc>
        <w:tc>
          <w:tcPr>
            <w:tcW w:w="1040" w:type="dxa"/>
            <w:vMerge w:val="continue"/>
            <w:vAlign w:val="center"/>
          </w:tcPr>
          <w:p w14:paraId="7A4777E4">
            <w:pPr>
              <w:widowControl/>
              <w:jc w:val="left"/>
              <w:rPr>
                <w:rFonts w:hint="eastAsia" w:ascii="宋体" w:hAnsi="宋体" w:cs="宋体"/>
                <w:kern w:val="0"/>
                <w:sz w:val="21"/>
                <w:szCs w:val="21"/>
              </w:rPr>
            </w:pPr>
          </w:p>
        </w:tc>
        <w:tc>
          <w:tcPr>
            <w:tcW w:w="1400" w:type="dxa"/>
            <w:vMerge w:val="continue"/>
            <w:vAlign w:val="center"/>
          </w:tcPr>
          <w:p w14:paraId="22CF504E">
            <w:pPr>
              <w:widowControl/>
              <w:jc w:val="left"/>
              <w:rPr>
                <w:rFonts w:hint="eastAsia" w:ascii="宋体" w:hAnsi="宋体" w:cs="宋体"/>
                <w:kern w:val="0"/>
                <w:sz w:val="21"/>
                <w:szCs w:val="21"/>
              </w:rPr>
            </w:pPr>
          </w:p>
        </w:tc>
        <w:tc>
          <w:tcPr>
            <w:tcW w:w="5160" w:type="dxa"/>
            <w:shd w:val="clear" w:color="auto" w:fill="auto"/>
            <w:vAlign w:val="center"/>
          </w:tcPr>
          <w:p w14:paraId="06487829">
            <w:pPr>
              <w:widowControl/>
              <w:jc w:val="left"/>
              <w:rPr>
                <w:rFonts w:hint="eastAsia" w:ascii="宋体" w:hAnsi="宋体" w:cs="宋体"/>
                <w:kern w:val="0"/>
                <w:sz w:val="21"/>
                <w:szCs w:val="21"/>
              </w:rPr>
            </w:pPr>
            <w:r>
              <w:rPr>
                <w:rFonts w:hint="eastAsia" w:ascii="宋体" w:hAnsi="宋体" w:cs="宋体"/>
                <w:kern w:val="0"/>
                <w:sz w:val="21"/>
                <w:szCs w:val="21"/>
              </w:rPr>
              <w:t>冗余电源，支持热插拔</w:t>
            </w:r>
          </w:p>
        </w:tc>
      </w:tr>
      <w:tr w14:paraId="74C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365C08D9">
            <w:pPr>
              <w:widowControl/>
              <w:jc w:val="left"/>
              <w:rPr>
                <w:rFonts w:hint="eastAsia" w:ascii="宋体" w:hAnsi="宋体" w:cs="宋体"/>
                <w:kern w:val="0"/>
                <w:sz w:val="21"/>
                <w:szCs w:val="21"/>
              </w:rPr>
            </w:pPr>
          </w:p>
        </w:tc>
        <w:tc>
          <w:tcPr>
            <w:tcW w:w="1040" w:type="dxa"/>
            <w:vMerge w:val="restart"/>
            <w:shd w:val="clear" w:color="auto" w:fill="auto"/>
            <w:vAlign w:val="center"/>
          </w:tcPr>
          <w:p w14:paraId="03CC2A6D">
            <w:pPr>
              <w:widowControl/>
              <w:jc w:val="center"/>
              <w:rPr>
                <w:rFonts w:hint="eastAsia" w:ascii="宋体" w:hAnsi="宋体" w:cs="宋体"/>
                <w:kern w:val="0"/>
                <w:sz w:val="21"/>
                <w:szCs w:val="21"/>
              </w:rPr>
            </w:pPr>
            <w:r>
              <w:rPr>
                <w:rFonts w:hint="eastAsia" w:ascii="宋体" w:hAnsi="宋体" w:cs="宋体"/>
                <w:kern w:val="0"/>
                <w:sz w:val="21"/>
                <w:szCs w:val="21"/>
              </w:rPr>
              <w:t>功能要求</w:t>
            </w:r>
          </w:p>
        </w:tc>
        <w:tc>
          <w:tcPr>
            <w:tcW w:w="1400" w:type="dxa"/>
            <w:shd w:val="clear" w:color="auto" w:fill="auto"/>
            <w:vAlign w:val="center"/>
          </w:tcPr>
          <w:p w14:paraId="4A8456E9">
            <w:pPr>
              <w:widowControl/>
              <w:jc w:val="left"/>
              <w:rPr>
                <w:rFonts w:hint="eastAsia" w:ascii="宋体" w:hAnsi="宋体" w:cs="宋体"/>
                <w:kern w:val="0"/>
                <w:sz w:val="21"/>
                <w:szCs w:val="21"/>
              </w:rPr>
            </w:pPr>
            <w:r>
              <w:rPr>
                <w:rFonts w:hint="eastAsia" w:ascii="宋体" w:hAnsi="宋体" w:cs="宋体"/>
                <w:kern w:val="0"/>
                <w:sz w:val="21"/>
                <w:szCs w:val="21"/>
              </w:rPr>
              <w:t>设备部署</w:t>
            </w:r>
          </w:p>
        </w:tc>
        <w:tc>
          <w:tcPr>
            <w:tcW w:w="5160" w:type="dxa"/>
            <w:shd w:val="clear" w:color="auto" w:fill="auto"/>
            <w:vAlign w:val="center"/>
          </w:tcPr>
          <w:p w14:paraId="52071524">
            <w:pPr>
              <w:widowControl/>
              <w:jc w:val="left"/>
              <w:rPr>
                <w:rFonts w:hint="eastAsia" w:ascii="宋体" w:hAnsi="宋体" w:cs="宋体"/>
                <w:kern w:val="0"/>
                <w:sz w:val="21"/>
                <w:szCs w:val="21"/>
              </w:rPr>
            </w:pPr>
            <w:r>
              <w:rPr>
                <w:rFonts w:hint="eastAsia" w:ascii="宋体" w:hAnsi="宋体" w:cs="宋体"/>
                <w:kern w:val="0"/>
                <w:sz w:val="21"/>
                <w:szCs w:val="21"/>
              </w:rPr>
              <w:t>支持串接部署方式和单臂部署方式，支持三角传输模式；</w:t>
            </w:r>
          </w:p>
        </w:tc>
      </w:tr>
      <w:tr w14:paraId="2703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732C0B01">
            <w:pPr>
              <w:widowControl/>
              <w:jc w:val="left"/>
              <w:rPr>
                <w:rFonts w:hint="eastAsia" w:ascii="宋体" w:hAnsi="宋体" w:cs="宋体"/>
                <w:kern w:val="0"/>
                <w:sz w:val="21"/>
                <w:szCs w:val="21"/>
              </w:rPr>
            </w:pPr>
          </w:p>
        </w:tc>
        <w:tc>
          <w:tcPr>
            <w:tcW w:w="1040" w:type="dxa"/>
            <w:vMerge w:val="continue"/>
            <w:vAlign w:val="center"/>
          </w:tcPr>
          <w:p w14:paraId="7BAF2AA8">
            <w:pPr>
              <w:widowControl/>
              <w:jc w:val="left"/>
              <w:rPr>
                <w:rFonts w:hint="eastAsia" w:ascii="宋体" w:hAnsi="宋体" w:cs="宋体"/>
                <w:kern w:val="0"/>
                <w:sz w:val="21"/>
                <w:szCs w:val="21"/>
              </w:rPr>
            </w:pPr>
          </w:p>
        </w:tc>
        <w:tc>
          <w:tcPr>
            <w:tcW w:w="1400" w:type="dxa"/>
            <w:vMerge w:val="restart"/>
            <w:shd w:val="clear" w:color="auto" w:fill="auto"/>
            <w:vAlign w:val="center"/>
          </w:tcPr>
          <w:p w14:paraId="0A0474A2">
            <w:pPr>
              <w:widowControl/>
              <w:jc w:val="left"/>
              <w:rPr>
                <w:rFonts w:hint="eastAsia" w:ascii="宋体" w:hAnsi="宋体" w:cs="宋体"/>
                <w:kern w:val="0"/>
                <w:sz w:val="21"/>
                <w:szCs w:val="21"/>
              </w:rPr>
            </w:pPr>
            <w:r>
              <w:rPr>
                <w:rFonts w:hint="eastAsia" w:ascii="宋体" w:hAnsi="宋体" w:cs="宋体"/>
                <w:kern w:val="0"/>
                <w:sz w:val="21"/>
                <w:szCs w:val="21"/>
              </w:rPr>
              <w:t>链路负载均衡</w:t>
            </w:r>
          </w:p>
        </w:tc>
        <w:tc>
          <w:tcPr>
            <w:tcW w:w="5160" w:type="dxa"/>
            <w:shd w:val="clear" w:color="auto" w:fill="auto"/>
            <w:vAlign w:val="center"/>
          </w:tcPr>
          <w:p w14:paraId="67FB193B">
            <w:pPr>
              <w:widowControl/>
              <w:jc w:val="left"/>
              <w:rPr>
                <w:rFonts w:hint="eastAsia" w:ascii="宋体" w:hAnsi="宋体" w:cs="宋体"/>
                <w:kern w:val="0"/>
                <w:sz w:val="21"/>
                <w:szCs w:val="21"/>
              </w:rPr>
            </w:pPr>
            <w:r>
              <w:rPr>
                <w:rFonts w:hint="eastAsia" w:ascii="宋体" w:hAnsi="宋体" w:cs="宋体"/>
                <w:kern w:val="0"/>
                <w:sz w:val="21"/>
                <w:szCs w:val="21"/>
              </w:rPr>
              <w:t>支持静态IP和PPPOE两种线路接入方式；</w:t>
            </w:r>
          </w:p>
        </w:tc>
      </w:tr>
      <w:tr w14:paraId="5C1E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595B4043">
            <w:pPr>
              <w:widowControl/>
              <w:jc w:val="left"/>
              <w:rPr>
                <w:rFonts w:hint="eastAsia" w:ascii="宋体" w:hAnsi="宋体" w:cs="宋体"/>
                <w:kern w:val="0"/>
                <w:sz w:val="21"/>
                <w:szCs w:val="21"/>
              </w:rPr>
            </w:pPr>
          </w:p>
        </w:tc>
        <w:tc>
          <w:tcPr>
            <w:tcW w:w="1040" w:type="dxa"/>
            <w:vMerge w:val="continue"/>
            <w:vAlign w:val="center"/>
          </w:tcPr>
          <w:p w14:paraId="1CBD2575">
            <w:pPr>
              <w:widowControl/>
              <w:jc w:val="left"/>
              <w:rPr>
                <w:rFonts w:hint="eastAsia" w:ascii="宋体" w:hAnsi="宋体" w:cs="宋体"/>
                <w:kern w:val="0"/>
                <w:sz w:val="21"/>
                <w:szCs w:val="21"/>
              </w:rPr>
            </w:pPr>
          </w:p>
        </w:tc>
        <w:tc>
          <w:tcPr>
            <w:tcW w:w="1400" w:type="dxa"/>
            <w:vMerge w:val="continue"/>
            <w:vAlign w:val="center"/>
          </w:tcPr>
          <w:p w14:paraId="1F52A830">
            <w:pPr>
              <w:widowControl/>
              <w:jc w:val="left"/>
              <w:rPr>
                <w:rFonts w:hint="eastAsia" w:ascii="宋体" w:hAnsi="宋体" w:cs="宋体"/>
                <w:kern w:val="0"/>
                <w:sz w:val="21"/>
                <w:szCs w:val="21"/>
              </w:rPr>
            </w:pPr>
          </w:p>
        </w:tc>
        <w:tc>
          <w:tcPr>
            <w:tcW w:w="5160" w:type="dxa"/>
            <w:shd w:val="clear" w:color="auto" w:fill="auto"/>
            <w:vAlign w:val="center"/>
          </w:tcPr>
          <w:p w14:paraId="410AF322">
            <w:pPr>
              <w:widowControl/>
              <w:jc w:val="left"/>
              <w:rPr>
                <w:rFonts w:hint="eastAsia" w:ascii="宋体" w:hAnsi="宋体" w:cs="宋体"/>
                <w:kern w:val="0"/>
                <w:sz w:val="21"/>
                <w:szCs w:val="21"/>
              </w:rPr>
            </w:pPr>
            <w:r>
              <w:rPr>
                <w:rFonts w:hint="eastAsia" w:ascii="宋体" w:hAnsi="宋体" w:cs="宋体"/>
                <w:kern w:val="0"/>
                <w:sz w:val="21"/>
                <w:szCs w:val="21"/>
              </w:rPr>
              <w:t>支持在Web页面配置实现基于管理员自定义的时间计划来进行出站访问的流量调度；</w:t>
            </w:r>
          </w:p>
        </w:tc>
      </w:tr>
      <w:tr w14:paraId="5BB4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0DBBA787">
            <w:pPr>
              <w:widowControl/>
              <w:jc w:val="left"/>
              <w:rPr>
                <w:rFonts w:hint="eastAsia" w:ascii="宋体" w:hAnsi="宋体" w:cs="宋体"/>
                <w:kern w:val="0"/>
                <w:sz w:val="21"/>
                <w:szCs w:val="21"/>
              </w:rPr>
            </w:pPr>
          </w:p>
        </w:tc>
        <w:tc>
          <w:tcPr>
            <w:tcW w:w="1040" w:type="dxa"/>
            <w:vMerge w:val="continue"/>
            <w:vAlign w:val="center"/>
          </w:tcPr>
          <w:p w14:paraId="7316ACFF">
            <w:pPr>
              <w:widowControl/>
              <w:jc w:val="left"/>
              <w:rPr>
                <w:rFonts w:hint="eastAsia" w:ascii="宋体" w:hAnsi="宋体" w:cs="宋体"/>
                <w:kern w:val="0"/>
                <w:sz w:val="21"/>
                <w:szCs w:val="21"/>
              </w:rPr>
            </w:pPr>
          </w:p>
        </w:tc>
        <w:tc>
          <w:tcPr>
            <w:tcW w:w="1400" w:type="dxa"/>
            <w:vMerge w:val="continue"/>
            <w:vAlign w:val="center"/>
          </w:tcPr>
          <w:p w14:paraId="47F7B35D">
            <w:pPr>
              <w:widowControl/>
              <w:jc w:val="left"/>
              <w:rPr>
                <w:rFonts w:hint="eastAsia" w:ascii="宋体" w:hAnsi="宋体" w:cs="宋体"/>
                <w:kern w:val="0"/>
                <w:sz w:val="21"/>
                <w:szCs w:val="21"/>
              </w:rPr>
            </w:pPr>
          </w:p>
        </w:tc>
        <w:tc>
          <w:tcPr>
            <w:tcW w:w="5160" w:type="dxa"/>
            <w:shd w:val="clear" w:color="auto" w:fill="auto"/>
            <w:vAlign w:val="center"/>
          </w:tcPr>
          <w:p w14:paraId="04A8D307">
            <w:pPr>
              <w:widowControl/>
              <w:jc w:val="left"/>
              <w:rPr>
                <w:rFonts w:hint="eastAsia" w:ascii="宋体" w:hAnsi="宋体" w:cs="宋体"/>
                <w:kern w:val="0"/>
                <w:sz w:val="21"/>
                <w:szCs w:val="21"/>
              </w:rPr>
            </w:pPr>
            <w:r>
              <w:rPr>
                <w:rFonts w:hint="eastAsia" w:ascii="宋体" w:hAnsi="宋体" w:cs="宋体"/>
                <w:kern w:val="0"/>
                <w:sz w:val="21"/>
                <w:szCs w:val="21"/>
              </w:rPr>
              <w:t>支持基于运营商ISP地址库的策略路由，内置国内各运营商IP地址库并且支持自动在线更新（提供设备操作界面截图证明材料）</w:t>
            </w:r>
          </w:p>
        </w:tc>
      </w:tr>
      <w:tr w14:paraId="0F89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20" w:type="dxa"/>
            <w:vMerge w:val="continue"/>
            <w:vAlign w:val="center"/>
          </w:tcPr>
          <w:p w14:paraId="3093B700">
            <w:pPr>
              <w:widowControl/>
              <w:jc w:val="left"/>
              <w:rPr>
                <w:rFonts w:hint="eastAsia" w:ascii="宋体" w:hAnsi="宋体" w:cs="宋体"/>
                <w:kern w:val="0"/>
                <w:sz w:val="21"/>
                <w:szCs w:val="21"/>
              </w:rPr>
            </w:pPr>
          </w:p>
        </w:tc>
        <w:tc>
          <w:tcPr>
            <w:tcW w:w="1040" w:type="dxa"/>
            <w:vMerge w:val="continue"/>
            <w:vAlign w:val="center"/>
          </w:tcPr>
          <w:p w14:paraId="2DE05537">
            <w:pPr>
              <w:widowControl/>
              <w:jc w:val="left"/>
              <w:rPr>
                <w:rFonts w:hint="eastAsia" w:ascii="宋体" w:hAnsi="宋体" w:cs="宋体"/>
                <w:kern w:val="0"/>
                <w:sz w:val="21"/>
                <w:szCs w:val="21"/>
              </w:rPr>
            </w:pPr>
          </w:p>
        </w:tc>
        <w:tc>
          <w:tcPr>
            <w:tcW w:w="1400" w:type="dxa"/>
            <w:vMerge w:val="continue"/>
            <w:vAlign w:val="center"/>
          </w:tcPr>
          <w:p w14:paraId="1231ED22">
            <w:pPr>
              <w:widowControl/>
              <w:jc w:val="left"/>
              <w:rPr>
                <w:rFonts w:hint="eastAsia" w:ascii="宋体" w:hAnsi="宋体" w:cs="宋体"/>
                <w:kern w:val="0"/>
                <w:sz w:val="21"/>
                <w:szCs w:val="21"/>
              </w:rPr>
            </w:pPr>
          </w:p>
        </w:tc>
        <w:tc>
          <w:tcPr>
            <w:tcW w:w="5160" w:type="dxa"/>
            <w:shd w:val="clear" w:color="auto" w:fill="auto"/>
            <w:vAlign w:val="center"/>
          </w:tcPr>
          <w:p w14:paraId="2062F623">
            <w:pPr>
              <w:widowControl/>
              <w:jc w:val="left"/>
              <w:rPr>
                <w:rFonts w:hint="eastAsia" w:ascii="宋体" w:hAnsi="宋体" w:cs="宋体"/>
                <w:kern w:val="0"/>
                <w:sz w:val="21"/>
                <w:szCs w:val="21"/>
              </w:rPr>
            </w:pPr>
            <w:r>
              <w:rPr>
                <w:rFonts w:hint="eastAsia" w:ascii="宋体" w:hAnsi="宋体" w:cs="宋体"/>
                <w:kern w:val="0"/>
                <w:sz w:val="21"/>
                <w:szCs w:val="21"/>
              </w:rPr>
              <w:t>支持基于应用类型（视频、网银等）的智能选路，产品内置网上银行、Web流媒体、音频视频等应用规则，要求规则内容包含名称、类型、网址等关键信息，并且支持自动更新应用规则库（提供设备操作界面截图证明材料）</w:t>
            </w:r>
          </w:p>
        </w:tc>
      </w:tr>
      <w:tr w14:paraId="1145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26204812">
            <w:pPr>
              <w:widowControl/>
              <w:jc w:val="left"/>
              <w:rPr>
                <w:rFonts w:hint="eastAsia" w:ascii="宋体" w:hAnsi="宋体" w:cs="宋体"/>
                <w:kern w:val="0"/>
                <w:sz w:val="21"/>
                <w:szCs w:val="21"/>
              </w:rPr>
            </w:pPr>
          </w:p>
        </w:tc>
        <w:tc>
          <w:tcPr>
            <w:tcW w:w="1040" w:type="dxa"/>
            <w:vMerge w:val="continue"/>
            <w:vAlign w:val="center"/>
          </w:tcPr>
          <w:p w14:paraId="3F79B295">
            <w:pPr>
              <w:widowControl/>
              <w:jc w:val="left"/>
              <w:rPr>
                <w:rFonts w:hint="eastAsia" w:ascii="宋体" w:hAnsi="宋体" w:cs="宋体"/>
                <w:kern w:val="0"/>
                <w:sz w:val="21"/>
                <w:szCs w:val="21"/>
              </w:rPr>
            </w:pPr>
          </w:p>
        </w:tc>
        <w:tc>
          <w:tcPr>
            <w:tcW w:w="1400" w:type="dxa"/>
            <w:vMerge w:val="restart"/>
            <w:shd w:val="clear" w:color="auto" w:fill="auto"/>
            <w:vAlign w:val="center"/>
          </w:tcPr>
          <w:p w14:paraId="3AC4C204">
            <w:pPr>
              <w:widowControl/>
              <w:jc w:val="left"/>
              <w:rPr>
                <w:rFonts w:hint="eastAsia" w:ascii="宋体" w:hAnsi="宋体" w:cs="宋体"/>
                <w:kern w:val="0"/>
                <w:sz w:val="21"/>
                <w:szCs w:val="21"/>
              </w:rPr>
            </w:pPr>
            <w:r>
              <w:rPr>
                <w:rFonts w:hint="eastAsia" w:ascii="宋体" w:hAnsi="宋体" w:cs="宋体"/>
                <w:kern w:val="0"/>
                <w:sz w:val="21"/>
                <w:szCs w:val="21"/>
              </w:rPr>
              <w:t>高可用</w:t>
            </w:r>
          </w:p>
        </w:tc>
        <w:tc>
          <w:tcPr>
            <w:tcW w:w="5160" w:type="dxa"/>
            <w:shd w:val="clear" w:color="auto" w:fill="auto"/>
            <w:vAlign w:val="center"/>
          </w:tcPr>
          <w:p w14:paraId="2953DCA9">
            <w:pPr>
              <w:widowControl/>
              <w:jc w:val="left"/>
              <w:rPr>
                <w:rFonts w:hint="eastAsia" w:ascii="宋体" w:hAnsi="宋体" w:cs="宋体"/>
                <w:kern w:val="0"/>
                <w:sz w:val="21"/>
                <w:szCs w:val="21"/>
              </w:rPr>
            </w:pPr>
            <w:r>
              <w:rPr>
                <w:rFonts w:hint="eastAsia" w:ascii="宋体" w:hAnsi="宋体" w:cs="宋体"/>
                <w:kern w:val="0"/>
                <w:sz w:val="21"/>
                <w:szCs w:val="21"/>
              </w:rPr>
              <w:t>支持双机热备部署方式，支持配置同步、会话同步、会话保持表的同步，实现无缝故障切换</w:t>
            </w:r>
          </w:p>
        </w:tc>
      </w:tr>
      <w:tr w14:paraId="35CD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0" w:type="dxa"/>
            <w:vMerge w:val="continue"/>
            <w:vAlign w:val="center"/>
          </w:tcPr>
          <w:p w14:paraId="1FCF6809">
            <w:pPr>
              <w:widowControl/>
              <w:jc w:val="left"/>
              <w:rPr>
                <w:rFonts w:hint="eastAsia" w:ascii="宋体" w:hAnsi="宋体" w:cs="宋体"/>
                <w:kern w:val="0"/>
                <w:sz w:val="21"/>
                <w:szCs w:val="21"/>
              </w:rPr>
            </w:pPr>
          </w:p>
        </w:tc>
        <w:tc>
          <w:tcPr>
            <w:tcW w:w="1040" w:type="dxa"/>
            <w:vMerge w:val="continue"/>
            <w:vAlign w:val="center"/>
          </w:tcPr>
          <w:p w14:paraId="72D6E90C">
            <w:pPr>
              <w:widowControl/>
              <w:jc w:val="left"/>
              <w:rPr>
                <w:rFonts w:hint="eastAsia" w:ascii="宋体" w:hAnsi="宋体" w:cs="宋体"/>
                <w:kern w:val="0"/>
                <w:sz w:val="21"/>
                <w:szCs w:val="21"/>
              </w:rPr>
            </w:pPr>
          </w:p>
        </w:tc>
        <w:tc>
          <w:tcPr>
            <w:tcW w:w="1400" w:type="dxa"/>
            <w:vMerge w:val="continue"/>
            <w:vAlign w:val="center"/>
          </w:tcPr>
          <w:p w14:paraId="39B77203">
            <w:pPr>
              <w:widowControl/>
              <w:jc w:val="left"/>
              <w:rPr>
                <w:rFonts w:hint="eastAsia" w:ascii="宋体" w:hAnsi="宋体" w:cs="宋体"/>
                <w:kern w:val="0"/>
                <w:sz w:val="21"/>
                <w:szCs w:val="21"/>
              </w:rPr>
            </w:pPr>
          </w:p>
        </w:tc>
        <w:tc>
          <w:tcPr>
            <w:tcW w:w="5160" w:type="dxa"/>
            <w:shd w:val="clear" w:color="auto" w:fill="auto"/>
            <w:vAlign w:val="center"/>
          </w:tcPr>
          <w:p w14:paraId="4D9DB248">
            <w:pPr>
              <w:widowControl/>
              <w:jc w:val="left"/>
              <w:rPr>
                <w:rFonts w:hint="eastAsia" w:ascii="宋体" w:hAnsi="宋体" w:cs="宋体"/>
                <w:kern w:val="0"/>
                <w:sz w:val="21"/>
                <w:szCs w:val="21"/>
              </w:rPr>
            </w:pPr>
            <w:r>
              <w:rPr>
                <w:rFonts w:hint="eastAsia" w:ascii="宋体" w:hAnsi="宋体" w:cs="宋体"/>
                <w:kern w:val="0"/>
                <w:sz w:val="21"/>
                <w:szCs w:val="21"/>
              </w:rPr>
              <w:t>高可用模式可独立配置会话保持同步和连接镜像；</w:t>
            </w:r>
          </w:p>
        </w:tc>
      </w:tr>
      <w:tr w14:paraId="477A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820" w:type="dxa"/>
            <w:vMerge w:val="continue"/>
            <w:vAlign w:val="center"/>
          </w:tcPr>
          <w:p w14:paraId="233B3E86">
            <w:pPr>
              <w:widowControl/>
              <w:jc w:val="left"/>
              <w:rPr>
                <w:rFonts w:hint="eastAsia" w:ascii="宋体" w:hAnsi="宋体" w:cs="宋体"/>
                <w:kern w:val="0"/>
                <w:sz w:val="21"/>
                <w:szCs w:val="21"/>
              </w:rPr>
            </w:pPr>
          </w:p>
        </w:tc>
        <w:tc>
          <w:tcPr>
            <w:tcW w:w="1040" w:type="dxa"/>
            <w:vMerge w:val="continue"/>
            <w:vAlign w:val="center"/>
          </w:tcPr>
          <w:p w14:paraId="32DA51AE">
            <w:pPr>
              <w:widowControl/>
              <w:jc w:val="left"/>
              <w:rPr>
                <w:rFonts w:hint="eastAsia" w:ascii="宋体" w:hAnsi="宋体" w:cs="宋体"/>
                <w:kern w:val="0"/>
                <w:sz w:val="21"/>
                <w:szCs w:val="21"/>
              </w:rPr>
            </w:pPr>
          </w:p>
        </w:tc>
        <w:tc>
          <w:tcPr>
            <w:tcW w:w="1400" w:type="dxa"/>
            <w:shd w:val="clear" w:color="auto" w:fill="auto"/>
            <w:vAlign w:val="center"/>
          </w:tcPr>
          <w:p w14:paraId="7C7C401F">
            <w:pPr>
              <w:widowControl/>
              <w:jc w:val="left"/>
              <w:rPr>
                <w:rFonts w:hint="eastAsia" w:ascii="宋体" w:hAnsi="宋体" w:cs="宋体"/>
                <w:kern w:val="0"/>
                <w:sz w:val="21"/>
                <w:szCs w:val="21"/>
              </w:rPr>
            </w:pPr>
            <w:r>
              <w:rPr>
                <w:rFonts w:hint="eastAsia" w:ascii="宋体" w:hAnsi="宋体" w:cs="宋体"/>
                <w:kern w:val="0"/>
                <w:sz w:val="21"/>
                <w:szCs w:val="21"/>
              </w:rPr>
              <w:t>SSL卸载</w:t>
            </w:r>
          </w:p>
        </w:tc>
        <w:tc>
          <w:tcPr>
            <w:tcW w:w="5160" w:type="dxa"/>
            <w:shd w:val="clear" w:color="auto" w:fill="auto"/>
            <w:vAlign w:val="center"/>
          </w:tcPr>
          <w:p w14:paraId="45B4E324">
            <w:pPr>
              <w:widowControl/>
              <w:jc w:val="left"/>
              <w:rPr>
                <w:rFonts w:hint="eastAsia" w:ascii="宋体" w:hAnsi="宋体" w:cs="宋体"/>
                <w:kern w:val="0"/>
                <w:sz w:val="21"/>
                <w:szCs w:val="21"/>
              </w:rPr>
            </w:pPr>
            <w:r>
              <w:rPr>
                <w:rFonts w:hint="eastAsia" w:ascii="宋体" w:hAnsi="宋体" w:cs="宋体"/>
                <w:kern w:val="0"/>
                <w:sz w:val="21"/>
                <w:szCs w:val="21"/>
              </w:rPr>
              <w:t>支持TLS1.3算法，并完整支持对应的TLS1.3_AES_128_GCM_SHA256、TLS1.3_AES_256_GCM_SHA384、TLS1.3_CHACHA20_POLY1305_SHA256、TLS1.3_AES_128_CCM_SHA256、TLS1.3_AES_128_CCM_8_SHA256加密套件；（提供设备操作界面截图证明材料）</w:t>
            </w:r>
          </w:p>
        </w:tc>
      </w:tr>
      <w:tr w14:paraId="183D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4A87BFB2">
            <w:pPr>
              <w:widowControl/>
              <w:jc w:val="left"/>
              <w:rPr>
                <w:rFonts w:hint="eastAsia" w:ascii="宋体" w:hAnsi="宋体" w:cs="宋体"/>
                <w:kern w:val="0"/>
                <w:sz w:val="21"/>
                <w:szCs w:val="21"/>
              </w:rPr>
            </w:pPr>
          </w:p>
        </w:tc>
        <w:tc>
          <w:tcPr>
            <w:tcW w:w="1040" w:type="dxa"/>
            <w:vMerge w:val="continue"/>
            <w:vAlign w:val="center"/>
          </w:tcPr>
          <w:p w14:paraId="54D1F8A3">
            <w:pPr>
              <w:widowControl/>
              <w:jc w:val="left"/>
              <w:rPr>
                <w:rFonts w:hint="eastAsia" w:ascii="宋体" w:hAnsi="宋体" w:cs="宋体"/>
                <w:kern w:val="0"/>
                <w:sz w:val="21"/>
                <w:szCs w:val="21"/>
              </w:rPr>
            </w:pPr>
          </w:p>
        </w:tc>
        <w:tc>
          <w:tcPr>
            <w:tcW w:w="1400" w:type="dxa"/>
            <w:vMerge w:val="restart"/>
            <w:shd w:val="clear" w:color="auto" w:fill="auto"/>
            <w:vAlign w:val="center"/>
          </w:tcPr>
          <w:p w14:paraId="163C716A">
            <w:pPr>
              <w:widowControl/>
              <w:jc w:val="left"/>
              <w:rPr>
                <w:rFonts w:hint="eastAsia" w:ascii="宋体" w:hAnsi="宋体" w:cs="宋体"/>
                <w:kern w:val="0"/>
                <w:sz w:val="21"/>
                <w:szCs w:val="21"/>
              </w:rPr>
            </w:pPr>
            <w:r>
              <w:rPr>
                <w:rFonts w:hint="eastAsia" w:ascii="宋体" w:hAnsi="宋体" w:cs="宋体"/>
                <w:kern w:val="0"/>
                <w:sz w:val="21"/>
                <w:szCs w:val="21"/>
              </w:rPr>
              <w:t>服务器负载均衡</w:t>
            </w:r>
          </w:p>
        </w:tc>
        <w:tc>
          <w:tcPr>
            <w:tcW w:w="5160" w:type="dxa"/>
            <w:shd w:val="clear" w:color="auto" w:fill="auto"/>
            <w:vAlign w:val="center"/>
          </w:tcPr>
          <w:p w14:paraId="27D7AE13">
            <w:pPr>
              <w:widowControl/>
              <w:jc w:val="left"/>
              <w:rPr>
                <w:rFonts w:hint="eastAsia" w:ascii="宋体" w:hAnsi="宋体" w:cs="宋体"/>
                <w:kern w:val="0"/>
                <w:sz w:val="21"/>
                <w:szCs w:val="21"/>
              </w:rPr>
            </w:pPr>
            <w:r>
              <w:rPr>
                <w:rFonts w:hint="eastAsia" w:ascii="宋体" w:hAnsi="宋体" w:cs="宋体"/>
                <w:kern w:val="0"/>
                <w:sz w:val="21"/>
                <w:szCs w:val="21"/>
              </w:rPr>
              <w:t>支持L4、L7负载均衡，支持轮询、加权轮询、最小连接、加权最小连接、IP哈希、最快响应、IP端口哈希、优先权、URL哈希等均衡算法</w:t>
            </w:r>
          </w:p>
        </w:tc>
      </w:tr>
      <w:tr w14:paraId="6939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1830C88E">
            <w:pPr>
              <w:widowControl/>
              <w:jc w:val="left"/>
              <w:rPr>
                <w:rFonts w:hint="eastAsia" w:ascii="宋体" w:hAnsi="宋体" w:cs="宋体"/>
                <w:kern w:val="0"/>
                <w:sz w:val="21"/>
                <w:szCs w:val="21"/>
              </w:rPr>
            </w:pPr>
          </w:p>
        </w:tc>
        <w:tc>
          <w:tcPr>
            <w:tcW w:w="1040" w:type="dxa"/>
            <w:vMerge w:val="continue"/>
            <w:vAlign w:val="center"/>
          </w:tcPr>
          <w:p w14:paraId="228AA889">
            <w:pPr>
              <w:widowControl/>
              <w:jc w:val="left"/>
              <w:rPr>
                <w:rFonts w:hint="eastAsia" w:ascii="宋体" w:hAnsi="宋体" w:cs="宋体"/>
                <w:kern w:val="0"/>
                <w:sz w:val="21"/>
                <w:szCs w:val="21"/>
              </w:rPr>
            </w:pPr>
          </w:p>
        </w:tc>
        <w:tc>
          <w:tcPr>
            <w:tcW w:w="1400" w:type="dxa"/>
            <w:vMerge w:val="continue"/>
            <w:vAlign w:val="center"/>
          </w:tcPr>
          <w:p w14:paraId="3C70450B">
            <w:pPr>
              <w:widowControl/>
              <w:jc w:val="left"/>
              <w:rPr>
                <w:rFonts w:hint="eastAsia" w:ascii="宋体" w:hAnsi="宋体" w:cs="宋体"/>
                <w:kern w:val="0"/>
                <w:sz w:val="21"/>
                <w:szCs w:val="21"/>
              </w:rPr>
            </w:pPr>
          </w:p>
        </w:tc>
        <w:tc>
          <w:tcPr>
            <w:tcW w:w="5160" w:type="dxa"/>
            <w:shd w:val="clear" w:color="auto" w:fill="auto"/>
            <w:vAlign w:val="center"/>
          </w:tcPr>
          <w:p w14:paraId="3A159675">
            <w:pPr>
              <w:widowControl/>
              <w:jc w:val="left"/>
              <w:rPr>
                <w:rFonts w:hint="eastAsia" w:ascii="宋体" w:hAnsi="宋体" w:cs="宋体"/>
                <w:kern w:val="0"/>
                <w:sz w:val="21"/>
                <w:szCs w:val="21"/>
              </w:rPr>
            </w:pPr>
            <w:r>
              <w:rPr>
                <w:rFonts w:hint="eastAsia" w:ascii="宋体" w:hAnsi="宋体" w:cs="宋体"/>
                <w:kern w:val="0"/>
                <w:sz w:val="21"/>
                <w:szCs w:val="21"/>
              </w:rPr>
              <w:t>支持会话保持，包括源IP、目的IP、Cookie 哈希、SSL ID等会话保持算法</w:t>
            </w:r>
          </w:p>
        </w:tc>
      </w:tr>
      <w:tr w14:paraId="33DE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20" w:type="dxa"/>
            <w:vMerge w:val="continue"/>
            <w:vAlign w:val="center"/>
          </w:tcPr>
          <w:p w14:paraId="68FC48B2">
            <w:pPr>
              <w:widowControl/>
              <w:jc w:val="left"/>
              <w:rPr>
                <w:rFonts w:hint="eastAsia" w:ascii="宋体" w:hAnsi="宋体" w:cs="宋体"/>
                <w:kern w:val="0"/>
                <w:sz w:val="21"/>
                <w:szCs w:val="21"/>
              </w:rPr>
            </w:pPr>
          </w:p>
        </w:tc>
        <w:tc>
          <w:tcPr>
            <w:tcW w:w="1040" w:type="dxa"/>
            <w:vMerge w:val="continue"/>
            <w:vAlign w:val="center"/>
          </w:tcPr>
          <w:p w14:paraId="317DBEFD">
            <w:pPr>
              <w:widowControl/>
              <w:jc w:val="left"/>
              <w:rPr>
                <w:rFonts w:hint="eastAsia" w:ascii="宋体" w:hAnsi="宋体" w:cs="宋体"/>
                <w:kern w:val="0"/>
                <w:sz w:val="21"/>
                <w:szCs w:val="21"/>
              </w:rPr>
            </w:pPr>
          </w:p>
        </w:tc>
        <w:tc>
          <w:tcPr>
            <w:tcW w:w="1400" w:type="dxa"/>
            <w:vMerge w:val="restart"/>
            <w:shd w:val="clear" w:color="auto" w:fill="auto"/>
            <w:vAlign w:val="center"/>
          </w:tcPr>
          <w:p w14:paraId="4014C015">
            <w:pPr>
              <w:widowControl/>
              <w:jc w:val="left"/>
              <w:rPr>
                <w:rFonts w:hint="eastAsia" w:ascii="宋体" w:hAnsi="宋体" w:cs="宋体"/>
                <w:kern w:val="0"/>
                <w:sz w:val="21"/>
                <w:szCs w:val="21"/>
              </w:rPr>
            </w:pPr>
            <w:r>
              <w:rPr>
                <w:rFonts w:hint="eastAsia" w:ascii="宋体" w:hAnsi="宋体" w:cs="宋体"/>
                <w:kern w:val="0"/>
                <w:sz w:val="21"/>
                <w:szCs w:val="21"/>
              </w:rPr>
              <w:t>运维管理</w:t>
            </w:r>
          </w:p>
        </w:tc>
        <w:tc>
          <w:tcPr>
            <w:tcW w:w="5160" w:type="dxa"/>
            <w:shd w:val="clear" w:color="auto" w:fill="auto"/>
            <w:vAlign w:val="center"/>
          </w:tcPr>
          <w:p w14:paraId="7719CD1A">
            <w:pPr>
              <w:widowControl/>
              <w:jc w:val="left"/>
              <w:rPr>
                <w:rFonts w:hint="eastAsia" w:ascii="宋体" w:hAnsi="宋体" w:cs="宋体"/>
                <w:kern w:val="0"/>
                <w:sz w:val="21"/>
                <w:szCs w:val="21"/>
              </w:rPr>
            </w:pPr>
            <w:r>
              <w:rPr>
                <w:rFonts w:hint="eastAsia" w:ascii="宋体" w:hAnsi="宋体" w:cs="宋体"/>
                <w:kern w:val="0"/>
                <w:sz w:val="21"/>
                <w:szCs w:val="21"/>
              </w:rPr>
              <w:t>支持在WEB界面对负载均衡设备进行运维管理与排错，如查看连接信息，查看设备集群状态（提供设备操作界面截图证明材料）</w:t>
            </w:r>
          </w:p>
        </w:tc>
      </w:tr>
      <w:tr w14:paraId="2F8D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20" w:type="dxa"/>
            <w:vMerge w:val="continue"/>
            <w:vAlign w:val="center"/>
          </w:tcPr>
          <w:p w14:paraId="73FEC231">
            <w:pPr>
              <w:widowControl/>
              <w:jc w:val="left"/>
              <w:rPr>
                <w:rFonts w:hint="eastAsia" w:ascii="宋体" w:hAnsi="宋体" w:cs="宋体"/>
                <w:kern w:val="0"/>
                <w:sz w:val="21"/>
                <w:szCs w:val="21"/>
              </w:rPr>
            </w:pPr>
          </w:p>
        </w:tc>
        <w:tc>
          <w:tcPr>
            <w:tcW w:w="1040" w:type="dxa"/>
            <w:vMerge w:val="continue"/>
            <w:vAlign w:val="center"/>
          </w:tcPr>
          <w:p w14:paraId="0F6CBDDA">
            <w:pPr>
              <w:widowControl/>
              <w:jc w:val="left"/>
              <w:rPr>
                <w:rFonts w:hint="eastAsia" w:ascii="宋体" w:hAnsi="宋体" w:cs="宋体"/>
                <w:kern w:val="0"/>
                <w:sz w:val="21"/>
                <w:szCs w:val="21"/>
              </w:rPr>
            </w:pPr>
          </w:p>
        </w:tc>
        <w:tc>
          <w:tcPr>
            <w:tcW w:w="1400" w:type="dxa"/>
            <w:vMerge w:val="continue"/>
            <w:vAlign w:val="center"/>
          </w:tcPr>
          <w:p w14:paraId="59BC04F9">
            <w:pPr>
              <w:widowControl/>
              <w:jc w:val="left"/>
              <w:rPr>
                <w:rFonts w:hint="eastAsia" w:ascii="宋体" w:hAnsi="宋体" w:cs="宋体"/>
                <w:kern w:val="0"/>
                <w:sz w:val="21"/>
                <w:szCs w:val="21"/>
              </w:rPr>
            </w:pPr>
          </w:p>
        </w:tc>
        <w:tc>
          <w:tcPr>
            <w:tcW w:w="5160" w:type="dxa"/>
            <w:shd w:val="clear" w:color="auto" w:fill="auto"/>
            <w:vAlign w:val="center"/>
          </w:tcPr>
          <w:p w14:paraId="1D17A7D0">
            <w:pPr>
              <w:widowControl/>
              <w:jc w:val="left"/>
              <w:rPr>
                <w:rFonts w:hint="eastAsia" w:ascii="宋体" w:hAnsi="宋体" w:cs="宋体"/>
                <w:kern w:val="0"/>
                <w:sz w:val="21"/>
                <w:szCs w:val="21"/>
              </w:rPr>
            </w:pPr>
            <w:r>
              <w:rPr>
                <w:rFonts w:hint="eastAsia" w:ascii="宋体" w:hAnsi="宋体" w:cs="宋体"/>
                <w:kern w:val="0"/>
                <w:sz w:val="21"/>
                <w:szCs w:val="21"/>
              </w:rPr>
              <w:t>支持在WEB管理页面查看连接表信息，同时支持在界面中对连接表进行源IP，目的IP，源端口，目的端口，虚拟服务等过滤条件的过滤查询</w:t>
            </w:r>
          </w:p>
        </w:tc>
      </w:tr>
      <w:tr w14:paraId="1086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0" w:type="dxa"/>
            <w:vMerge w:val="continue"/>
            <w:vAlign w:val="center"/>
          </w:tcPr>
          <w:p w14:paraId="68E07AA8">
            <w:pPr>
              <w:widowControl/>
              <w:jc w:val="left"/>
              <w:rPr>
                <w:rFonts w:hint="eastAsia" w:ascii="宋体" w:hAnsi="宋体" w:cs="宋体"/>
                <w:kern w:val="0"/>
                <w:sz w:val="21"/>
                <w:szCs w:val="21"/>
              </w:rPr>
            </w:pPr>
          </w:p>
        </w:tc>
        <w:tc>
          <w:tcPr>
            <w:tcW w:w="1040" w:type="dxa"/>
            <w:vMerge w:val="continue"/>
            <w:vAlign w:val="center"/>
          </w:tcPr>
          <w:p w14:paraId="06CE7CD7">
            <w:pPr>
              <w:widowControl/>
              <w:jc w:val="left"/>
              <w:rPr>
                <w:rFonts w:hint="eastAsia" w:ascii="宋体" w:hAnsi="宋体" w:cs="宋体"/>
                <w:kern w:val="0"/>
                <w:sz w:val="21"/>
                <w:szCs w:val="21"/>
              </w:rPr>
            </w:pPr>
          </w:p>
        </w:tc>
        <w:tc>
          <w:tcPr>
            <w:tcW w:w="1400" w:type="dxa"/>
            <w:vMerge w:val="continue"/>
            <w:vAlign w:val="center"/>
          </w:tcPr>
          <w:p w14:paraId="3A97F69C">
            <w:pPr>
              <w:widowControl/>
              <w:jc w:val="left"/>
              <w:rPr>
                <w:rFonts w:hint="eastAsia" w:ascii="宋体" w:hAnsi="宋体" w:cs="宋体"/>
                <w:kern w:val="0"/>
                <w:sz w:val="21"/>
                <w:szCs w:val="21"/>
              </w:rPr>
            </w:pPr>
          </w:p>
        </w:tc>
        <w:tc>
          <w:tcPr>
            <w:tcW w:w="5160" w:type="dxa"/>
            <w:shd w:val="clear" w:color="auto" w:fill="auto"/>
            <w:vAlign w:val="center"/>
          </w:tcPr>
          <w:p w14:paraId="72DC827B">
            <w:pPr>
              <w:widowControl/>
              <w:jc w:val="left"/>
              <w:rPr>
                <w:rFonts w:hint="eastAsia" w:ascii="宋体" w:hAnsi="宋体" w:cs="宋体"/>
                <w:kern w:val="0"/>
                <w:sz w:val="21"/>
                <w:szCs w:val="21"/>
              </w:rPr>
            </w:pPr>
            <w:r>
              <w:rPr>
                <w:rFonts w:hint="eastAsia" w:ascii="宋体" w:hAnsi="宋体" w:cs="宋体"/>
                <w:kern w:val="0"/>
                <w:sz w:val="21"/>
                <w:szCs w:val="21"/>
              </w:rPr>
              <w:t>支持对设备的管理日志进行新旧配置对比，及时发现设备管理上的变化；（提供设备操作界面截图证明材料）</w:t>
            </w:r>
          </w:p>
        </w:tc>
      </w:tr>
    </w:tbl>
    <w:p w14:paraId="158066E1">
      <w:pPr>
        <w:rPr>
          <w:rFonts w:hint="eastAsia" w:asciiTheme="minorEastAsia" w:hAnsiTheme="minorEastAsia" w:eastAsiaTheme="minorEastAsia"/>
          <w:szCs w:val="24"/>
        </w:rPr>
      </w:pPr>
      <w:r>
        <w:rPr>
          <w:rFonts w:hint="eastAsia" w:asciiTheme="minorEastAsia" w:hAnsiTheme="minorEastAsia" w:eastAsiaTheme="minorEastAsia"/>
          <w:szCs w:val="24"/>
        </w:rPr>
        <w:br w:type="page"/>
      </w:r>
    </w:p>
    <w:p w14:paraId="79F7728B">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技术方案</w:t>
      </w:r>
    </w:p>
    <w:p w14:paraId="24F2302A">
      <w:r>
        <w:rPr>
          <w:rFonts w:hint="eastAsia"/>
        </w:rPr>
        <w:t>按网络区域进行划分</w:t>
      </w:r>
    </w:p>
    <w:p w14:paraId="7A2E83DC">
      <w:pPr>
        <w:pStyle w:val="6"/>
        <w:spacing w:line="360" w:lineRule="auto"/>
        <w:rPr>
          <w:rFonts w:hint="eastAsia" w:asciiTheme="minorEastAsia" w:hAnsiTheme="minorEastAsia" w:eastAsiaTheme="minorEastAsia"/>
          <w:sz w:val="24"/>
          <w:szCs w:val="24"/>
        </w:rPr>
      </w:pPr>
      <w:bookmarkStart w:id="8" w:name="_Hlk196136248"/>
      <w:r>
        <w:rPr>
          <w:rFonts w:hint="eastAsia" w:asciiTheme="minorEastAsia" w:hAnsiTheme="minorEastAsia" w:eastAsiaTheme="minorEastAsia"/>
          <w:sz w:val="24"/>
          <w:szCs w:val="24"/>
        </w:rPr>
        <w:t>3</w:t>
      </w:r>
      <w:r>
        <w:rPr>
          <w:rFonts w:asciiTheme="minorEastAsia" w:hAnsiTheme="minorEastAsia" w:eastAsiaTheme="minorEastAsia"/>
          <w:sz w:val="24"/>
          <w:szCs w:val="24"/>
        </w:rPr>
        <w:t>.5.1</w:t>
      </w:r>
      <w:r>
        <w:rPr>
          <w:rFonts w:hint="eastAsia" w:asciiTheme="minorEastAsia" w:hAnsiTheme="minorEastAsia" w:eastAsiaTheme="minorEastAsia"/>
          <w:sz w:val="24"/>
          <w:szCs w:val="24"/>
        </w:rPr>
        <w:t>深圳I</w:t>
      </w:r>
      <w:r>
        <w:rPr>
          <w:rFonts w:asciiTheme="minorEastAsia" w:hAnsiTheme="minorEastAsia" w:eastAsiaTheme="minorEastAsia"/>
          <w:sz w:val="24"/>
          <w:szCs w:val="24"/>
        </w:rPr>
        <w:t>DC</w:t>
      </w:r>
      <w:r>
        <w:rPr>
          <w:rFonts w:hint="eastAsia" w:asciiTheme="minorEastAsia" w:hAnsiTheme="minorEastAsia" w:eastAsiaTheme="minorEastAsia"/>
          <w:sz w:val="24"/>
          <w:szCs w:val="24"/>
        </w:rPr>
        <w:t>办公区（2台）</w:t>
      </w:r>
    </w:p>
    <w:p w14:paraId="65858F7F">
      <w:pPr>
        <w:adjustRightInd w:val="0"/>
        <w:snapToGrid w:val="0"/>
        <w:spacing w:line="360" w:lineRule="auto"/>
        <w:jc w:val="left"/>
        <w:rPr>
          <w:rFonts w:hint="eastAsia" w:ascii="仿宋" w:hAnsi="仿宋" w:eastAsia="仿宋" w:cs="仿宋"/>
          <w:sz w:val="28"/>
          <w:szCs w:val="28"/>
        </w:rPr>
      </w:pPr>
      <w:r>
        <w:drawing>
          <wp:inline distT="0" distB="0" distL="0" distR="0">
            <wp:extent cx="5274310" cy="2289175"/>
            <wp:effectExtent l="0" t="0" r="0" b="0"/>
            <wp:docPr id="73469660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96601" name="图片 1" descr="图示&#10;&#10;AI 生成的内容可能不正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289175"/>
                    </a:xfrm>
                    <a:prstGeom prst="rect">
                      <a:avLst/>
                    </a:prstGeom>
                    <a:noFill/>
                    <a:ln>
                      <a:noFill/>
                    </a:ln>
                  </pic:spPr>
                </pic:pic>
              </a:graphicData>
            </a:graphic>
          </wp:inline>
        </w:drawing>
      </w:r>
    </w:p>
    <w:p w14:paraId="4FDEEFA6">
      <w:pPr>
        <w:adjustRightInd w:val="0"/>
        <w:snapToGrid w:val="0"/>
        <w:spacing w:line="360" w:lineRule="auto"/>
        <w:ind w:firstLine="480" w:firstLineChars="200"/>
        <w:rPr>
          <w:rFonts w:hint="eastAsia" w:ascii="宋体" w:hAnsi="宋体" w:cs="仿宋"/>
          <w:szCs w:val="21"/>
        </w:rPr>
      </w:pPr>
      <w:r>
        <w:rPr>
          <w:rFonts w:hint="eastAsia" w:ascii="宋体" w:hAnsi="宋体" w:cs="仿宋"/>
          <w:szCs w:val="21"/>
        </w:rPr>
        <w:t>上图为深圳IDC办公区网络拓扑，共升级替换2台网络设备：</w:t>
      </w:r>
    </w:p>
    <w:p w14:paraId="369C9E74">
      <w:pPr>
        <w:adjustRightInd w:val="0"/>
        <w:snapToGrid w:val="0"/>
        <w:spacing w:line="360" w:lineRule="auto"/>
        <w:ind w:firstLine="480" w:firstLineChars="200"/>
        <w:rPr>
          <w:rFonts w:hint="eastAsia" w:ascii="宋体" w:hAnsi="宋体" w:cs="仿宋"/>
          <w:szCs w:val="21"/>
        </w:rPr>
      </w:pPr>
      <w:r>
        <w:rPr>
          <w:rFonts w:hint="eastAsia" w:ascii="宋体" w:hAnsi="宋体" w:cs="仿宋"/>
          <w:szCs w:val="21"/>
        </w:rPr>
        <w:t>2台千兆交换机升级为万兆交换机</w:t>
      </w:r>
    </w:p>
    <w:p w14:paraId="3177983D">
      <w:pPr>
        <w:spacing w:line="360" w:lineRule="auto"/>
        <w:ind w:firstLine="480" w:firstLineChars="200"/>
        <w:rPr>
          <w:rFonts w:hint="eastAsia" w:asciiTheme="minorEastAsia" w:hAnsiTheme="minorEastAsia" w:eastAsiaTheme="minorEastAsia"/>
        </w:rPr>
      </w:pPr>
    </w:p>
    <w:p w14:paraId="54183CAB">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3.5.2</w:t>
      </w:r>
      <w:r>
        <w:rPr>
          <w:rFonts w:hint="eastAsia" w:asciiTheme="minorEastAsia" w:hAnsiTheme="minorEastAsia" w:eastAsiaTheme="minorEastAsia"/>
          <w:sz w:val="24"/>
          <w:szCs w:val="24"/>
        </w:rPr>
        <w:t>深圳I</w:t>
      </w:r>
      <w:r>
        <w:rPr>
          <w:rFonts w:asciiTheme="minorEastAsia" w:hAnsiTheme="minorEastAsia" w:eastAsiaTheme="minorEastAsia"/>
          <w:sz w:val="24"/>
          <w:szCs w:val="24"/>
        </w:rPr>
        <w:t>DC</w:t>
      </w:r>
      <w:r>
        <w:rPr>
          <w:rFonts w:hint="eastAsia" w:asciiTheme="minorEastAsia" w:hAnsiTheme="minorEastAsia" w:eastAsiaTheme="minorEastAsia"/>
          <w:sz w:val="24"/>
          <w:szCs w:val="24"/>
        </w:rPr>
        <w:t>广域网区（6台）</w:t>
      </w:r>
    </w:p>
    <w:p w14:paraId="40DC442A">
      <w:pPr>
        <w:adjustRightInd w:val="0"/>
        <w:snapToGrid w:val="0"/>
        <w:spacing w:line="360" w:lineRule="auto"/>
        <w:rPr>
          <w:rFonts w:hint="eastAsia" w:ascii="仿宋" w:hAnsi="仿宋" w:eastAsia="仿宋" w:cs="仿宋"/>
          <w:sz w:val="28"/>
          <w:szCs w:val="28"/>
        </w:rPr>
      </w:pPr>
      <w:r>
        <w:drawing>
          <wp:inline distT="0" distB="0" distL="0" distR="0">
            <wp:extent cx="5274310" cy="4881880"/>
            <wp:effectExtent l="0" t="0" r="0" b="0"/>
            <wp:docPr id="48466674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66749" name="图片 1" descr="图示&#10;&#10;AI 生成的内容可能不正确。"/>
                    <pic:cNvPicPr>
                      <a:picLocks noChangeAspect="1"/>
                    </pic:cNvPicPr>
                  </pic:nvPicPr>
                  <pic:blipFill>
                    <a:blip r:embed="rId7"/>
                    <a:stretch>
                      <a:fillRect/>
                    </a:stretch>
                  </pic:blipFill>
                  <pic:spPr>
                    <a:xfrm>
                      <a:off x="0" y="0"/>
                      <a:ext cx="5274310" cy="4881880"/>
                    </a:xfrm>
                    <a:prstGeom prst="rect">
                      <a:avLst/>
                    </a:prstGeom>
                  </pic:spPr>
                </pic:pic>
              </a:graphicData>
            </a:graphic>
          </wp:inline>
        </w:drawing>
      </w:r>
    </w:p>
    <w:p w14:paraId="5D2FC324">
      <w:pPr>
        <w:adjustRightInd w:val="0"/>
        <w:snapToGrid w:val="0"/>
        <w:spacing w:line="360" w:lineRule="auto"/>
        <w:ind w:firstLine="480" w:firstLineChars="200"/>
        <w:rPr>
          <w:rFonts w:hint="eastAsia" w:ascii="宋体" w:hAnsi="宋体" w:cs="仿宋"/>
          <w:szCs w:val="21"/>
        </w:rPr>
      </w:pPr>
      <w:r>
        <w:rPr>
          <w:rFonts w:hint="eastAsia" w:ascii="宋体" w:hAnsi="宋体" w:cs="仿宋"/>
          <w:szCs w:val="21"/>
        </w:rPr>
        <w:t>上图为深圳I</w:t>
      </w:r>
      <w:r>
        <w:rPr>
          <w:rFonts w:ascii="宋体" w:hAnsi="宋体" w:cs="仿宋"/>
          <w:szCs w:val="21"/>
        </w:rPr>
        <w:t>DC</w:t>
      </w:r>
      <w:r>
        <w:rPr>
          <w:rFonts w:hint="eastAsia" w:ascii="宋体" w:hAnsi="宋体" w:cs="仿宋"/>
          <w:szCs w:val="21"/>
        </w:rPr>
        <w:t>广域网区拓扑。共升级替换6台网络设备。</w:t>
      </w:r>
    </w:p>
    <w:p w14:paraId="0C5E2BA6">
      <w:pPr>
        <w:pStyle w:val="2"/>
        <w:ind w:left="480" w:firstLine="480"/>
      </w:pPr>
      <w:r>
        <w:rPr>
          <w:rFonts w:hint="eastAsia"/>
        </w:rPr>
        <w:t>2台广域网千兆接入交换机</w:t>
      </w:r>
    </w:p>
    <w:p w14:paraId="13BD448B">
      <w:pPr>
        <w:pStyle w:val="2"/>
        <w:ind w:left="480" w:firstLine="480"/>
      </w:pPr>
      <w:r>
        <w:rPr>
          <w:rFonts w:hint="eastAsia"/>
        </w:rPr>
        <w:t>2台广域网区万兆防火墙</w:t>
      </w:r>
    </w:p>
    <w:p w14:paraId="5EFB35AD">
      <w:pPr>
        <w:pStyle w:val="2"/>
        <w:ind w:left="480" w:firstLine="480"/>
      </w:pPr>
      <w:r>
        <w:rPr>
          <w:rFonts w:hint="eastAsia"/>
        </w:rPr>
        <w:t>2台广域网交换机升级替换为路由器，</w:t>
      </w:r>
      <w:r>
        <w:rPr>
          <w:rFonts w:hint="eastAsia" w:ascii="宋体" w:hAnsi="宋体" w:cs="仿宋"/>
          <w:szCs w:val="21"/>
        </w:rPr>
        <w:t>此设备运行主要协议有BGP、OSPF、QOS。</w:t>
      </w:r>
    </w:p>
    <w:p w14:paraId="66471BFD">
      <w:pPr>
        <w:adjustRightInd w:val="0"/>
        <w:snapToGrid w:val="0"/>
        <w:spacing w:line="360" w:lineRule="auto"/>
        <w:ind w:firstLine="960" w:firstLineChars="400"/>
        <w:rPr>
          <w:rFonts w:hint="eastAsia" w:ascii="宋体" w:hAnsi="宋体" w:cs="仿宋"/>
          <w:szCs w:val="21"/>
        </w:rPr>
      </w:pPr>
      <w:r>
        <w:rPr>
          <w:rFonts w:hint="eastAsia" w:ascii="宋体" w:hAnsi="宋体" w:cs="仿宋"/>
          <w:szCs w:val="21"/>
        </w:rPr>
        <w:t>到储能大厦的这1台路由器可以取消下线</w:t>
      </w:r>
    </w:p>
    <w:p w14:paraId="5109B990">
      <w:pPr>
        <w:pStyle w:val="2"/>
        <w:ind w:left="480" w:firstLine="480"/>
      </w:pPr>
    </w:p>
    <w:p w14:paraId="7D209E6D">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3.5.3</w:t>
      </w:r>
      <w:r>
        <w:rPr>
          <w:rFonts w:hint="eastAsia" w:asciiTheme="minorEastAsia" w:hAnsiTheme="minorEastAsia" w:eastAsiaTheme="minorEastAsia"/>
          <w:sz w:val="24"/>
          <w:szCs w:val="24"/>
        </w:rPr>
        <w:t xml:space="preserve"> 深圳I</w:t>
      </w:r>
      <w:r>
        <w:rPr>
          <w:rFonts w:asciiTheme="minorEastAsia" w:hAnsiTheme="minorEastAsia" w:eastAsiaTheme="minorEastAsia"/>
          <w:sz w:val="24"/>
          <w:szCs w:val="24"/>
        </w:rPr>
        <w:t>DC</w:t>
      </w:r>
      <w:r>
        <w:rPr>
          <w:rFonts w:hint="eastAsia" w:asciiTheme="minorEastAsia" w:hAnsiTheme="minorEastAsia" w:eastAsiaTheme="minorEastAsia"/>
          <w:sz w:val="24"/>
          <w:szCs w:val="24"/>
        </w:rPr>
        <w:t>网管区（22台）</w:t>
      </w:r>
    </w:p>
    <w:p w14:paraId="676AC8FC">
      <w:pPr>
        <w:pStyle w:val="7"/>
        <w:ind w:left="0" w:firstLine="0" w:firstLineChars="0"/>
        <w:rPr>
          <w:rFonts w:hint="eastAsia"/>
        </w:rPr>
      </w:pPr>
      <w:r>
        <w:drawing>
          <wp:inline distT="0" distB="0" distL="0" distR="0">
            <wp:extent cx="5274310" cy="2491105"/>
            <wp:effectExtent l="0" t="0" r="0" b="0"/>
            <wp:docPr id="179215777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57771" name="图片 1" descr="图示&#10;&#10;AI 生成的内容可能不正确。"/>
                    <pic:cNvPicPr>
                      <a:picLocks noChangeAspect="1"/>
                    </pic:cNvPicPr>
                  </pic:nvPicPr>
                  <pic:blipFill>
                    <a:blip r:embed="rId8"/>
                    <a:stretch>
                      <a:fillRect/>
                    </a:stretch>
                  </pic:blipFill>
                  <pic:spPr>
                    <a:xfrm>
                      <a:off x="0" y="0"/>
                      <a:ext cx="5274310" cy="2491105"/>
                    </a:xfrm>
                    <a:prstGeom prst="rect">
                      <a:avLst/>
                    </a:prstGeom>
                  </pic:spPr>
                </pic:pic>
              </a:graphicData>
            </a:graphic>
          </wp:inline>
        </w:drawing>
      </w:r>
    </w:p>
    <w:p w14:paraId="06AD6276">
      <w:pPr>
        <w:adjustRightInd w:val="0"/>
        <w:snapToGrid w:val="0"/>
        <w:spacing w:line="360" w:lineRule="auto"/>
        <w:ind w:firstLine="480" w:firstLineChars="200"/>
        <w:rPr>
          <w:rFonts w:hint="eastAsia" w:ascii="宋体" w:hAnsi="宋体" w:cs="仿宋"/>
          <w:szCs w:val="21"/>
        </w:rPr>
      </w:pPr>
      <w:r>
        <w:rPr>
          <w:rFonts w:hint="eastAsia" w:ascii="宋体" w:hAnsi="宋体" w:cs="仿宋"/>
          <w:szCs w:val="21"/>
        </w:rPr>
        <w:t>上图为深圳I</w:t>
      </w:r>
      <w:r>
        <w:rPr>
          <w:rFonts w:ascii="宋体" w:hAnsi="宋体" w:cs="仿宋"/>
          <w:szCs w:val="21"/>
        </w:rPr>
        <w:t>DC</w:t>
      </w:r>
      <w:r>
        <w:rPr>
          <w:rFonts w:hint="eastAsia" w:ascii="宋体" w:hAnsi="宋体" w:cs="仿宋"/>
          <w:szCs w:val="21"/>
        </w:rPr>
        <w:t>网管区拓扑。共升级替换22台网络设备。</w:t>
      </w:r>
    </w:p>
    <w:p w14:paraId="44A70675">
      <w:pPr>
        <w:pStyle w:val="2"/>
        <w:ind w:left="480" w:firstLine="480"/>
      </w:pPr>
      <w:r>
        <w:rPr>
          <w:rFonts w:hint="eastAsia"/>
        </w:rPr>
        <w:t>2台汇聚千兆交换机升级为万兆交换机</w:t>
      </w:r>
    </w:p>
    <w:p w14:paraId="56AF9C2E">
      <w:pPr>
        <w:pStyle w:val="2"/>
        <w:ind w:left="480" w:firstLine="480"/>
      </w:pPr>
      <w:r>
        <w:rPr>
          <w:rFonts w:hint="eastAsia"/>
        </w:rPr>
        <w:t>2台服务器千兆交换机</w:t>
      </w:r>
    </w:p>
    <w:p w14:paraId="2A077D35">
      <w:pPr>
        <w:pStyle w:val="2"/>
        <w:ind w:left="480" w:firstLine="480"/>
      </w:pPr>
      <w:r>
        <w:rPr>
          <w:rFonts w:hint="eastAsia"/>
        </w:rPr>
        <w:t>18台带外网管千兆交换机</w:t>
      </w:r>
    </w:p>
    <w:p w14:paraId="7C5B34B0">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3.5.4</w:t>
      </w:r>
      <w:r>
        <w:rPr>
          <w:rFonts w:hint="eastAsia" w:asciiTheme="minorEastAsia" w:hAnsiTheme="minorEastAsia" w:eastAsiaTheme="minorEastAsia"/>
          <w:sz w:val="24"/>
          <w:szCs w:val="24"/>
        </w:rPr>
        <w:t>深圳I</w:t>
      </w:r>
      <w:r>
        <w:rPr>
          <w:rFonts w:asciiTheme="minorEastAsia" w:hAnsiTheme="minorEastAsia" w:eastAsiaTheme="minorEastAsia"/>
          <w:sz w:val="24"/>
          <w:szCs w:val="24"/>
        </w:rPr>
        <w:t>DC</w:t>
      </w:r>
      <w:r>
        <w:rPr>
          <w:rFonts w:hint="eastAsia" w:asciiTheme="minorEastAsia" w:hAnsiTheme="minorEastAsia" w:eastAsiaTheme="minorEastAsia"/>
          <w:sz w:val="24"/>
          <w:szCs w:val="24"/>
        </w:rPr>
        <w:t>办公互联网区（12台）</w:t>
      </w:r>
    </w:p>
    <w:p w14:paraId="52014D5B">
      <w:pPr>
        <w:adjustRightInd w:val="0"/>
        <w:snapToGrid w:val="0"/>
        <w:spacing w:line="360" w:lineRule="auto"/>
        <w:rPr>
          <w:rFonts w:hint="eastAsia" w:ascii="仿宋" w:hAnsi="仿宋" w:eastAsia="仿宋" w:cs="仿宋"/>
          <w:sz w:val="28"/>
          <w:szCs w:val="28"/>
        </w:rPr>
      </w:pPr>
      <w:r>
        <mc:AlternateContent>
          <mc:Choice Requires="wps">
            <w:drawing>
              <wp:anchor distT="0" distB="0" distL="114300" distR="114300" simplePos="0" relativeHeight="251663360" behindDoc="0" locked="0" layoutInCell="1" allowOverlap="1">
                <wp:simplePos x="0" y="0"/>
                <wp:positionH relativeFrom="column">
                  <wp:posOffset>1163320</wp:posOffset>
                </wp:positionH>
                <wp:positionV relativeFrom="paragraph">
                  <wp:posOffset>43180</wp:posOffset>
                </wp:positionV>
                <wp:extent cx="1374140" cy="207010"/>
                <wp:effectExtent l="5715" t="5715" r="17145" b="15875"/>
                <wp:wrapNone/>
                <wp:docPr id="12" name="墨迹 12"/>
                <wp:cNvGraphicFramePr/>
                <a:graphic xmlns:a="http://schemas.openxmlformats.org/drawingml/2006/main">
                  <a:graphicData uri="http://schemas.microsoft.com/office/word/2010/wordprocessingInk">
                    <mc:AlternateContent xmlns:a14="http://schemas.microsoft.com/office/drawing/2010/main">
                      <mc:Choice Requires="a14">
                        <w14:contentPart bwMode="clr" r:id="rId9">
                          <w14:nvContentPartPr>
                            <w14:cNvPr id="12" name="墨迹 12"/>
                            <w14:cNvContentPartPr/>
                          </w14:nvContentPartPr>
                          <w14:xfrm>
                            <a:off x="0" y="0"/>
                            <a:ext cx="1374140" cy="207010"/>
                          </w14:xfrm>
                        </w14:contentPart>
                      </mc:Choice>
                    </mc:AlternateContent>
                  </a:graphicData>
                </a:graphic>
              </wp:anchor>
            </w:drawing>
          </mc:Choice>
          <mc:Fallback>
            <w:pict>
              <v:shape id="_x0000_s1026" o:spid="_x0000_s1026" o:spt="75" style="position:absolute;left:0pt;margin-left:91.6pt;margin-top:3.4pt;height:16.3pt;width:108.2pt;z-index:251663360;mso-width-relative:page;mso-height-relative:page;" coordsize="21600,21600" o:gfxdata="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">
                <v:imagedata r:id="rId10" o:title=""/>
                <o:lock v:ext="edit"/>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3110865</wp:posOffset>
                </wp:positionH>
                <wp:positionV relativeFrom="paragraph">
                  <wp:posOffset>78105</wp:posOffset>
                </wp:positionV>
                <wp:extent cx="600075" cy="76200"/>
                <wp:effectExtent l="5715" t="5715" r="16510" b="6985"/>
                <wp:wrapNone/>
                <wp:docPr id="11" name="墨迹 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11" name="墨迹 3"/>
                            <w14:cNvContentPartPr/>
                          </w14:nvContentPartPr>
                          <w14:xfrm>
                            <a:off x="0" y="0"/>
                            <a:ext cx="600075" cy="76200"/>
                          </w14:xfrm>
                        </w14:contentPart>
                      </mc:Choice>
                    </mc:AlternateContent>
                  </a:graphicData>
                </a:graphic>
              </wp:anchor>
            </w:drawing>
          </mc:Choice>
          <mc:Fallback>
            <w:pict>
              <v:shape id="墨迹 3" o:spid="_x0000_s1026" o:spt="75" style="position:absolute;left:0pt;margin-left:244.95pt;margin-top:6.15pt;height:6pt;width:47.25pt;z-index:251662336;mso-width-relative:page;mso-height-relative:page;" coordsize="21600,21600" o:gfxdata="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">
                <v:imagedata r:id="rId12" o:title=""/>
                <o:lock v:ext="edit"/>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3046730</wp:posOffset>
                </wp:positionH>
                <wp:positionV relativeFrom="paragraph">
                  <wp:posOffset>223520</wp:posOffset>
                </wp:positionV>
                <wp:extent cx="551815" cy="270510"/>
                <wp:effectExtent l="5715" t="5715" r="13970" b="15875"/>
                <wp:wrapNone/>
                <wp:docPr id="10" name="墨迹 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
                          <w14:nvContentPartPr>
                            <w14:cNvPr id="10" name="墨迹 2"/>
                            <w14:cNvContentPartPr/>
                          </w14:nvContentPartPr>
                          <w14:xfrm>
                            <a:off x="0" y="0"/>
                            <a:ext cx="551815" cy="270510"/>
                          </w14:xfrm>
                        </w14:contentPart>
                      </mc:Choice>
                    </mc:AlternateContent>
                  </a:graphicData>
                </a:graphic>
              </wp:anchor>
            </w:drawing>
          </mc:Choice>
          <mc:Fallback>
            <w:pict>
              <v:shape id="墨迹 2" o:spid="_x0000_s1026" o:spt="75" style="position:absolute;left:0pt;margin-left:239.9pt;margin-top:17.6pt;height:21.3pt;width:43.45pt;z-index:251661312;mso-width-relative:page;mso-height-relative:page;" coordsize="21600,21600" o:gfxdata="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">
                <v:imagedata r:id="rId14" o:title=""/>
                <o:lock v:ext="edit"/>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2124710</wp:posOffset>
                </wp:positionH>
                <wp:positionV relativeFrom="paragraph">
                  <wp:posOffset>299085</wp:posOffset>
                </wp:positionV>
                <wp:extent cx="351155" cy="127000"/>
                <wp:effectExtent l="5715" t="5715" r="11430" b="6985"/>
                <wp:wrapNone/>
                <wp:docPr id="9" name="墨迹 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
                          <w14:nvContentPartPr>
                            <w14:cNvPr id="9" name="墨迹 1"/>
                            <w14:cNvContentPartPr/>
                          </w14:nvContentPartPr>
                          <w14:xfrm>
                            <a:off x="0" y="0"/>
                            <a:ext cx="351155" cy="127000"/>
                          </w14:xfrm>
                        </w14:contentPart>
                      </mc:Choice>
                    </mc:AlternateContent>
                  </a:graphicData>
                </a:graphic>
              </wp:anchor>
            </w:drawing>
          </mc:Choice>
          <mc:Fallback>
            <w:pict>
              <v:shape id="墨迹 1" o:spid="_x0000_s1026" o:spt="75" style="position:absolute;left:0pt;margin-left:167.3pt;margin-top:23.55pt;height:10pt;width:27.65pt;z-index:251660288;mso-width-relative:page;mso-height-relative:page;" coordsize="21600,21600" o:gfxdata="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">
                <v:imagedata r:id="rId16" o:title=""/>
                <o:lock v:ext="edit"/>
              </v:shape>
            </w:pict>
          </mc:Fallback>
        </mc:AlternateContent>
      </w:r>
      <w:r>
        <w:drawing>
          <wp:inline distT="0" distB="0" distL="0" distR="0">
            <wp:extent cx="5274310" cy="4599940"/>
            <wp:effectExtent l="0" t="0" r="0" b="0"/>
            <wp:docPr id="2103326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6932" name="图片 1"/>
                    <pic:cNvPicPr>
                      <a:picLocks noChangeAspect="1"/>
                    </pic:cNvPicPr>
                  </pic:nvPicPr>
                  <pic:blipFill>
                    <a:blip r:embed="rId17"/>
                    <a:stretch>
                      <a:fillRect/>
                    </a:stretch>
                  </pic:blipFill>
                  <pic:spPr>
                    <a:xfrm>
                      <a:off x="0" y="0"/>
                      <a:ext cx="5274310" cy="4599940"/>
                    </a:xfrm>
                    <a:prstGeom prst="rect">
                      <a:avLst/>
                    </a:prstGeom>
                  </pic:spPr>
                </pic:pic>
              </a:graphicData>
            </a:graphic>
          </wp:inline>
        </w:drawing>
      </w:r>
    </w:p>
    <w:p w14:paraId="17017AFF">
      <w:pPr>
        <w:adjustRightInd w:val="0"/>
        <w:snapToGrid w:val="0"/>
        <w:spacing w:line="360" w:lineRule="auto"/>
        <w:ind w:firstLine="480" w:firstLineChars="200"/>
        <w:rPr>
          <w:rFonts w:hint="eastAsia" w:ascii="宋体" w:hAnsi="宋体" w:cs="仿宋"/>
          <w:szCs w:val="21"/>
        </w:rPr>
      </w:pPr>
      <w:r>
        <w:rPr>
          <w:rFonts w:hint="eastAsia" w:asciiTheme="minorEastAsia" w:hAnsiTheme="minorEastAsia" w:eastAsiaTheme="minorEastAsia"/>
          <w:szCs w:val="24"/>
        </w:rPr>
        <w:t>上图升级服务要求</w:t>
      </w:r>
      <w:r>
        <w:rPr>
          <w:rFonts w:hint="eastAsia" w:ascii="宋体" w:hAnsi="宋体" w:cs="仿宋"/>
          <w:szCs w:val="21"/>
        </w:rPr>
        <w:t>上图为深圳I</w:t>
      </w:r>
      <w:r>
        <w:rPr>
          <w:rFonts w:ascii="宋体" w:hAnsi="宋体" w:cs="仿宋"/>
          <w:szCs w:val="21"/>
        </w:rPr>
        <w:t>DC</w:t>
      </w:r>
      <w:r>
        <w:rPr>
          <w:rFonts w:hint="eastAsia" w:ascii="宋体" w:hAnsi="宋体" w:cs="仿宋"/>
          <w:szCs w:val="21"/>
        </w:rPr>
        <w:t>办公互联网区拓扑。共升级替换12台网络设备。</w:t>
      </w:r>
    </w:p>
    <w:p w14:paraId="2ED8416F">
      <w:pPr>
        <w:pStyle w:val="2"/>
        <w:ind w:left="480" w:firstLine="480"/>
      </w:pPr>
      <w:r>
        <w:rPr>
          <w:rFonts w:hint="eastAsia"/>
        </w:rPr>
        <w:t>2台千兆交换机</w:t>
      </w:r>
    </w:p>
    <w:p w14:paraId="39530D07">
      <w:pPr>
        <w:pStyle w:val="2"/>
        <w:ind w:left="480" w:firstLine="480"/>
      </w:pPr>
      <w:r>
        <w:rPr>
          <w:rFonts w:hint="eastAsia"/>
        </w:rPr>
        <w:t>2台万兆交换机</w:t>
      </w:r>
    </w:p>
    <w:p w14:paraId="422786E1">
      <w:pPr>
        <w:pStyle w:val="2"/>
        <w:ind w:left="480" w:firstLine="480"/>
      </w:pPr>
      <w:r>
        <w:rPr>
          <w:rFonts w:hint="eastAsia"/>
        </w:rPr>
        <w:t>4台负载均衡</w:t>
      </w:r>
    </w:p>
    <w:p w14:paraId="016E4E91">
      <w:pPr>
        <w:pStyle w:val="2"/>
        <w:ind w:left="480" w:firstLine="480"/>
      </w:pPr>
      <w:r>
        <w:rPr>
          <w:rFonts w:hint="eastAsia"/>
        </w:rPr>
        <w:t>4台防火墙</w:t>
      </w:r>
    </w:p>
    <w:p w14:paraId="7FC8C892">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w:t>
      </w:r>
      <w:r>
        <w:rPr>
          <w:rFonts w:hint="eastAsia" w:asciiTheme="minorEastAsia" w:hAnsiTheme="minorEastAsia" w:eastAsiaTheme="minorEastAsia"/>
          <w:sz w:val="24"/>
          <w:szCs w:val="24"/>
        </w:rPr>
        <w:t>5 贵阳IDC报盘区（3台）</w:t>
      </w:r>
    </w:p>
    <w:p w14:paraId="54C37636">
      <w:pPr>
        <w:pStyle w:val="2"/>
        <w:ind w:left="0" w:leftChars="0" w:firstLine="0" w:firstLineChars="0"/>
      </w:pPr>
      <w:r>
        <w:drawing>
          <wp:inline distT="0" distB="0" distL="0" distR="0">
            <wp:extent cx="5274310" cy="2882900"/>
            <wp:effectExtent l="0" t="0" r="0" b="0"/>
            <wp:docPr id="894271646"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1646" name="图片 1" descr="图示&#10;&#10;AI 生成的内容可能不正确。"/>
                    <pic:cNvPicPr>
                      <a:picLocks noChangeAspect="1"/>
                    </pic:cNvPicPr>
                  </pic:nvPicPr>
                  <pic:blipFill>
                    <a:blip r:embed="rId18"/>
                    <a:stretch>
                      <a:fillRect/>
                    </a:stretch>
                  </pic:blipFill>
                  <pic:spPr>
                    <a:xfrm>
                      <a:off x="0" y="0"/>
                      <a:ext cx="5274310" cy="2882900"/>
                    </a:xfrm>
                    <a:prstGeom prst="rect">
                      <a:avLst/>
                    </a:prstGeom>
                  </pic:spPr>
                </pic:pic>
              </a:graphicData>
            </a:graphic>
          </wp:inline>
        </w:drawing>
      </w:r>
    </w:p>
    <w:p w14:paraId="699ACDA8">
      <w:pPr>
        <w:adjustRightInd w:val="0"/>
        <w:snapToGrid w:val="0"/>
        <w:spacing w:line="360" w:lineRule="auto"/>
        <w:ind w:firstLine="480" w:firstLineChars="200"/>
      </w:pPr>
      <w:r>
        <w:rPr>
          <w:rFonts w:hint="eastAsia" w:asciiTheme="minorEastAsia" w:hAnsiTheme="minorEastAsia" w:eastAsiaTheme="minorEastAsia"/>
          <w:szCs w:val="24"/>
        </w:rPr>
        <w:t>上图升级服务要求</w:t>
      </w:r>
      <w:r>
        <w:rPr>
          <w:rFonts w:hint="eastAsia" w:ascii="宋体" w:hAnsi="宋体" w:cs="仿宋"/>
          <w:szCs w:val="21"/>
        </w:rPr>
        <w:t>上图为深圳I</w:t>
      </w:r>
      <w:r>
        <w:rPr>
          <w:rFonts w:ascii="宋体" w:hAnsi="宋体" w:cs="仿宋"/>
          <w:szCs w:val="21"/>
        </w:rPr>
        <w:t>DC</w:t>
      </w:r>
      <w:r>
        <w:rPr>
          <w:rFonts w:hint="eastAsia" w:ascii="宋体" w:hAnsi="宋体" w:cs="仿宋"/>
          <w:szCs w:val="21"/>
        </w:rPr>
        <w:t>报盘区拓扑。原2台路由器：</w:t>
      </w:r>
      <w:r>
        <w:rPr>
          <w:rFonts w:hint="eastAsia"/>
        </w:rPr>
        <w:t>根据专线拆分为3台路由器</w:t>
      </w:r>
    </w:p>
    <w:p w14:paraId="72D09047">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w:t>
      </w:r>
      <w:r>
        <w:rPr>
          <w:rFonts w:hint="eastAsia" w:asciiTheme="minorEastAsia" w:hAnsiTheme="minorEastAsia" w:eastAsiaTheme="minorEastAsia"/>
          <w:sz w:val="24"/>
          <w:szCs w:val="24"/>
        </w:rPr>
        <w:t>6 贵阳IDC外联区（2台）</w:t>
      </w:r>
    </w:p>
    <w:p w14:paraId="463BE35C">
      <w:pPr>
        <w:pStyle w:val="2"/>
        <w:ind w:left="0" w:leftChars="0" w:firstLine="0" w:firstLineChars="0"/>
      </w:pPr>
      <w:r>
        <w:drawing>
          <wp:inline distT="0" distB="0" distL="0" distR="0">
            <wp:extent cx="5274310" cy="2611755"/>
            <wp:effectExtent l="0" t="0" r="0" b="0"/>
            <wp:docPr id="53676731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7317" name="图片 1" descr="图示&#10;&#10;AI 生成的内容可能不正确。"/>
                    <pic:cNvPicPr>
                      <a:picLocks noChangeAspect="1"/>
                    </pic:cNvPicPr>
                  </pic:nvPicPr>
                  <pic:blipFill>
                    <a:blip r:embed="rId19"/>
                    <a:stretch>
                      <a:fillRect/>
                    </a:stretch>
                  </pic:blipFill>
                  <pic:spPr>
                    <a:xfrm>
                      <a:off x="0" y="0"/>
                      <a:ext cx="5274310" cy="2611755"/>
                    </a:xfrm>
                    <a:prstGeom prst="rect">
                      <a:avLst/>
                    </a:prstGeom>
                  </pic:spPr>
                </pic:pic>
              </a:graphicData>
            </a:graphic>
          </wp:inline>
        </w:drawing>
      </w:r>
    </w:p>
    <w:p w14:paraId="028E2C19">
      <w:pPr>
        <w:adjustRightInd w:val="0"/>
        <w:snapToGrid w:val="0"/>
        <w:spacing w:line="360" w:lineRule="auto"/>
        <w:ind w:firstLine="480" w:firstLineChars="200"/>
      </w:pPr>
      <w:r>
        <w:rPr>
          <w:rFonts w:hint="eastAsia" w:asciiTheme="minorEastAsia" w:hAnsiTheme="minorEastAsia" w:eastAsiaTheme="minorEastAsia"/>
          <w:szCs w:val="24"/>
        </w:rPr>
        <w:t>上图升级服务要求</w:t>
      </w:r>
      <w:r>
        <w:rPr>
          <w:rFonts w:hint="eastAsia" w:ascii="宋体" w:hAnsi="宋体" w:cs="仿宋"/>
          <w:szCs w:val="21"/>
        </w:rPr>
        <w:t>上图为深圳I</w:t>
      </w:r>
      <w:r>
        <w:rPr>
          <w:rFonts w:ascii="宋体" w:hAnsi="宋体" w:cs="仿宋"/>
          <w:szCs w:val="21"/>
        </w:rPr>
        <w:t>DC</w:t>
      </w:r>
      <w:r>
        <w:rPr>
          <w:rFonts w:hint="eastAsia" w:ascii="宋体" w:hAnsi="宋体" w:cs="仿宋"/>
          <w:szCs w:val="21"/>
        </w:rPr>
        <w:t>外联区拓扑。共升级替换2台网络设备：</w:t>
      </w:r>
      <w:r>
        <w:rPr>
          <w:rFonts w:hint="eastAsia"/>
        </w:rPr>
        <w:t>2台路由器</w:t>
      </w:r>
    </w:p>
    <w:p w14:paraId="233E6F3C">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w:t>
      </w:r>
      <w:r>
        <w:rPr>
          <w:rFonts w:hint="eastAsia" w:asciiTheme="minorEastAsia" w:hAnsiTheme="minorEastAsia" w:eastAsiaTheme="minorEastAsia"/>
          <w:sz w:val="24"/>
          <w:szCs w:val="24"/>
        </w:rPr>
        <w:t>7 贵阳IDC 广域网区（2台）</w:t>
      </w:r>
    </w:p>
    <w:p w14:paraId="2D3E1476">
      <w:pPr>
        <w:pStyle w:val="2"/>
        <w:ind w:left="0" w:leftChars="0" w:firstLine="0" w:firstLineChars="0"/>
      </w:pPr>
      <w:r>
        <w:drawing>
          <wp:inline distT="0" distB="0" distL="0" distR="0">
            <wp:extent cx="5274310" cy="4918710"/>
            <wp:effectExtent l="0" t="0" r="0" b="0"/>
            <wp:docPr id="1399746889"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6889" name="图片 1" descr="图示&#10;&#10;AI 生成的内容可能不正确。"/>
                    <pic:cNvPicPr>
                      <a:picLocks noChangeAspect="1"/>
                    </pic:cNvPicPr>
                  </pic:nvPicPr>
                  <pic:blipFill>
                    <a:blip r:embed="rId20"/>
                    <a:stretch>
                      <a:fillRect/>
                    </a:stretch>
                  </pic:blipFill>
                  <pic:spPr>
                    <a:xfrm>
                      <a:off x="0" y="0"/>
                      <a:ext cx="5274310" cy="4918710"/>
                    </a:xfrm>
                    <a:prstGeom prst="rect">
                      <a:avLst/>
                    </a:prstGeom>
                  </pic:spPr>
                </pic:pic>
              </a:graphicData>
            </a:graphic>
          </wp:inline>
        </w:drawing>
      </w:r>
    </w:p>
    <w:p w14:paraId="41A3BE2C">
      <w:pPr>
        <w:adjustRightInd w:val="0"/>
        <w:snapToGrid w:val="0"/>
        <w:spacing w:line="360" w:lineRule="auto"/>
        <w:ind w:firstLine="480" w:firstLineChars="200"/>
        <w:rPr>
          <w:rFonts w:hint="eastAsia" w:ascii="宋体" w:hAnsi="宋体" w:cs="仿宋"/>
          <w:szCs w:val="21"/>
        </w:rPr>
      </w:pPr>
      <w:r>
        <w:rPr>
          <w:rFonts w:hint="eastAsia" w:ascii="宋体" w:hAnsi="宋体" w:cs="仿宋"/>
          <w:szCs w:val="21"/>
        </w:rPr>
        <w:t>上图为贵阳I</w:t>
      </w:r>
      <w:r>
        <w:rPr>
          <w:rFonts w:ascii="宋体" w:hAnsi="宋体" w:cs="仿宋"/>
          <w:szCs w:val="21"/>
        </w:rPr>
        <w:t>DC</w:t>
      </w:r>
      <w:r>
        <w:rPr>
          <w:rFonts w:hint="eastAsia" w:ascii="宋体" w:hAnsi="宋体" w:cs="仿宋"/>
          <w:szCs w:val="21"/>
        </w:rPr>
        <w:t>广域网区拓扑。共升级替换2台网络设备：</w:t>
      </w:r>
    </w:p>
    <w:p w14:paraId="41C36684">
      <w:pPr>
        <w:pStyle w:val="2"/>
        <w:ind w:left="480" w:firstLine="480"/>
      </w:pPr>
      <w:r>
        <w:rPr>
          <w:rFonts w:hint="eastAsia"/>
        </w:rPr>
        <w:t>2台广域网交换机升级替换为路由器，</w:t>
      </w:r>
      <w:r>
        <w:rPr>
          <w:rFonts w:hint="eastAsia" w:ascii="宋体" w:hAnsi="宋体" w:cs="仿宋"/>
          <w:szCs w:val="21"/>
        </w:rPr>
        <w:t>此设备运行主要协议有BGP、OSPF、QOS。</w:t>
      </w:r>
    </w:p>
    <w:p w14:paraId="0040A934">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w:t>
      </w:r>
      <w:r>
        <w:rPr>
          <w:rFonts w:hint="eastAsia" w:asciiTheme="minorEastAsia" w:hAnsiTheme="minorEastAsia" w:eastAsiaTheme="minorEastAsia"/>
          <w:sz w:val="24"/>
          <w:szCs w:val="24"/>
        </w:rPr>
        <w:t>8 深圳储能大厦职场（4台）</w:t>
      </w:r>
    </w:p>
    <w:p w14:paraId="4BA7DBCC">
      <w:pPr>
        <w:pStyle w:val="2"/>
        <w:ind w:left="0" w:leftChars="0" w:firstLine="0" w:firstLineChars="0"/>
      </w:pPr>
    </w:p>
    <w:p w14:paraId="01A80BE3">
      <w:pPr>
        <w:adjustRightInd w:val="0"/>
        <w:snapToGrid w:val="0"/>
        <w:spacing w:line="360" w:lineRule="auto"/>
        <w:ind w:firstLine="480" w:firstLineChars="200"/>
        <w:rPr>
          <w:rFonts w:hint="eastAsia" w:ascii="宋体" w:hAnsi="宋体" w:cs="仿宋"/>
          <w:szCs w:val="21"/>
        </w:rPr>
      </w:pPr>
      <w:r>
        <w:rPr>
          <w:rFonts w:hint="eastAsia" w:ascii="宋体" w:hAnsi="宋体" w:cs="仿宋"/>
          <w:szCs w:val="21"/>
        </w:rPr>
        <w:t>上图为深圳储能大厦职场拓扑。共升级替换4台网络设备：</w:t>
      </w:r>
    </w:p>
    <w:p w14:paraId="26DCBF1C">
      <w:pPr>
        <w:pStyle w:val="2"/>
        <w:ind w:left="480" w:firstLine="480"/>
      </w:pPr>
      <w:r>
        <w:rPr>
          <w:rFonts w:hint="eastAsia"/>
        </w:rPr>
        <w:t>2台互联网防火墙</w:t>
      </w:r>
    </w:p>
    <w:p w14:paraId="7D9C5F20">
      <w:pPr>
        <w:pStyle w:val="2"/>
        <w:ind w:left="480" w:firstLine="480"/>
      </w:pPr>
      <w:r>
        <w:rPr>
          <w:rFonts w:hint="eastAsia"/>
        </w:rPr>
        <w:t>2台负载均衡</w:t>
      </w:r>
    </w:p>
    <w:p w14:paraId="72FA3EAD">
      <w:pPr>
        <w:pStyle w:val="6"/>
        <w:spacing w:line="360" w:lineRule="auto"/>
        <w:rPr>
          <w:rFonts w:hint="eastAsia" w:asciiTheme="minorEastAsia" w:hAnsiTheme="minorEastAsia" w:eastAsiaTheme="minorEastAsia"/>
          <w:sz w:val="24"/>
          <w:szCs w:val="24"/>
        </w:rPr>
      </w:pPr>
      <w:r>
        <w:rPr>
          <w:rFonts w:asciiTheme="minorEastAsia" w:hAnsiTheme="minorEastAsia" w:eastAsiaTheme="minorEastAsia"/>
          <w:sz w:val="24"/>
          <w:szCs w:val="24"/>
        </w:rPr>
        <w:t>3.5.</w:t>
      </w:r>
      <w:r>
        <w:rPr>
          <w:rFonts w:hint="eastAsia" w:asciiTheme="minorEastAsia" w:hAnsiTheme="minorEastAsia" w:eastAsiaTheme="minorEastAsia"/>
          <w:sz w:val="24"/>
          <w:szCs w:val="24"/>
        </w:rPr>
        <w:t>9 贵阳北七塔大厦职场（4台）</w:t>
      </w:r>
    </w:p>
    <w:p w14:paraId="05437899">
      <w:pPr>
        <w:pStyle w:val="2"/>
        <w:ind w:left="0" w:leftChars="0" w:firstLine="0" w:firstLineChars="0"/>
      </w:pPr>
      <w:r>
        <w:drawing>
          <wp:inline distT="0" distB="0" distL="0" distR="0">
            <wp:extent cx="5274310" cy="4579620"/>
            <wp:effectExtent l="0" t="0" r="0" b="0"/>
            <wp:docPr id="240204624"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04624" name="图片 1" descr="图示&#10;&#10;AI 生成的内容可能不正确。"/>
                    <pic:cNvPicPr>
                      <a:picLocks noChangeAspect="1"/>
                    </pic:cNvPicPr>
                  </pic:nvPicPr>
                  <pic:blipFill>
                    <a:blip r:embed="rId21"/>
                    <a:stretch>
                      <a:fillRect/>
                    </a:stretch>
                  </pic:blipFill>
                  <pic:spPr>
                    <a:xfrm>
                      <a:off x="0" y="0"/>
                      <a:ext cx="5274310" cy="4579620"/>
                    </a:xfrm>
                    <a:prstGeom prst="rect">
                      <a:avLst/>
                    </a:prstGeom>
                  </pic:spPr>
                </pic:pic>
              </a:graphicData>
            </a:graphic>
          </wp:inline>
        </w:drawing>
      </w:r>
    </w:p>
    <w:p w14:paraId="087641E7">
      <w:pPr>
        <w:adjustRightInd w:val="0"/>
        <w:snapToGrid w:val="0"/>
        <w:spacing w:line="360" w:lineRule="auto"/>
        <w:ind w:firstLine="480" w:firstLineChars="200"/>
        <w:rPr>
          <w:rFonts w:hint="eastAsia" w:ascii="宋体" w:hAnsi="宋体" w:cs="仿宋"/>
          <w:szCs w:val="21"/>
        </w:rPr>
      </w:pPr>
      <w:r>
        <w:rPr>
          <w:rFonts w:hint="eastAsia" w:ascii="宋体" w:hAnsi="宋体" w:cs="仿宋"/>
          <w:szCs w:val="21"/>
        </w:rPr>
        <w:t>上图为贵阳北七塔大厦职场拓扑。共升级替换4台网络设备：</w:t>
      </w:r>
    </w:p>
    <w:p w14:paraId="3BCAF6DC">
      <w:pPr>
        <w:pStyle w:val="2"/>
        <w:ind w:left="480" w:firstLine="480"/>
      </w:pPr>
      <w:r>
        <w:rPr>
          <w:rFonts w:hint="eastAsia"/>
        </w:rPr>
        <w:t>2台互联网防火墙</w:t>
      </w:r>
    </w:p>
    <w:p w14:paraId="746D3BBF">
      <w:pPr>
        <w:pStyle w:val="2"/>
        <w:ind w:left="480" w:firstLine="480"/>
      </w:pPr>
      <w:r>
        <w:rPr>
          <w:rFonts w:hint="eastAsia"/>
        </w:rPr>
        <w:t>2台负载均衡</w:t>
      </w:r>
    </w:p>
    <w:bookmarkEnd w:id="8"/>
    <w:p w14:paraId="1D9A08D2">
      <w:pPr>
        <w:pStyle w:val="2"/>
        <w:ind w:left="480" w:firstLine="480"/>
      </w:pPr>
    </w:p>
    <w:p w14:paraId="395132A3">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保修及服务</w:t>
      </w:r>
    </w:p>
    <w:p w14:paraId="7B106297">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所有设备需提供设备5 年原厂维保服务。</w:t>
      </w:r>
    </w:p>
    <w:p w14:paraId="3EA330B8">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具体服务等级要求详见附件1采购设备清单</w:t>
      </w:r>
    </w:p>
    <w:p w14:paraId="1590D20C">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 xml:space="preserve">中标人自身需要提供 5年的技术支持服务。服务要求如下： </w:t>
      </w:r>
    </w:p>
    <w:p w14:paraId="6FD6C99C">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 xml:space="preserve">（1）电话支持服务：中标人需提供7×24电话支持服务。 </w:t>
      </w:r>
    </w:p>
    <w:p w14:paraId="1E0148CE">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 xml:space="preserve">（2）现场支持服务：中标人需提供7×24现场技术支持服务，15分钟内对招标人所提出的技术支持要求做出响应，重大故障2小时内工程师到现场，3小时内对问题做出诊断说明。 </w:t>
      </w:r>
    </w:p>
    <w:p w14:paraId="3252C64D">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 xml:space="preserve">（3）现场保障服务：在招标人提出重大生产变更，或重要时段保障服务需要时，中标人提供现场保障服务。 </w:t>
      </w:r>
    </w:p>
    <w:p w14:paraId="2C8E4C0B">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 xml:space="preserve">（4）现场巡检服务：中标人需定期对招标人采购的产品进行巡检服务，及时发现并解决问题，并提交相应健康检查分析报告。 </w:t>
      </w:r>
    </w:p>
    <w:p w14:paraId="6A081431">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 xml:space="preserve">（5）软件升级服务：如原厂发布新版本，中标人须对软件版本进行评估，向招标人提交升级建议。如招标人确认需升级，中标人应提交《升级方案建议书》，内容包括但不限于测试要点、配置的备份、升级的步骤和回退方案。 </w:t>
      </w:r>
    </w:p>
    <w:p w14:paraId="52FB7F9B">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（6）资料更新服务：维护服务期内，要求中标人定期为招标人进行相关技术资料的更新维护。</w:t>
      </w:r>
    </w:p>
    <w:p w14:paraId="155B350D">
      <w:pPr>
        <w:pStyle w:val="5"/>
        <w:numPr>
          <w:ilvl w:val="1"/>
          <w:numId w:val="1"/>
        </w:numPr>
        <w:spacing w:line="360" w:lineRule="auto"/>
        <w:rPr>
          <w:rFonts w:hint="eastAsia" w:asciiTheme="minorEastAsia" w:hAnsiTheme="minorEastAsia" w:eastAsiaTheme="minorEastAsia"/>
          <w:sz w:val="24"/>
          <w:szCs w:val="24"/>
        </w:rPr>
      </w:pPr>
      <w:r>
        <w:rPr>
          <w:rFonts w:hint="eastAsia"/>
          <w:sz w:val="24"/>
          <w:szCs w:val="24"/>
        </w:rPr>
        <w:t>资料服务要求</w:t>
      </w:r>
    </w:p>
    <w:p w14:paraId="670F0218">
      <w:pPr>
        <w:spacing w:line="360" w:lineRule="auto"/>
        <w:ind w:firstLine="480" w:firstLineChars="200"/>
        <w:rPr>
          <w:rFonts w:hint="eastAsia" w:ascii="宋体" w:hAnsi="宋体"/>
          <w:bCs/>
          <w:szCs w:val="24"/>
        </w:rPr>
      </w:pPr>
      <w:r>
        <w:rPr>
          <w:rFonts w:hint="eastAsia" w:ascii="宋体" w:hAnsi="宋体"/>
          <w:bCs/>
          <w:szCs w:val="24"/>
        </w:rPr>
        <w:t>项目验收前，要求中标人向中天国富提供保障合同标的正常运行的技术资料和保障日常使用的操作手册；后续的维护服务期内，要求中标人定期为中天国富进行相关技术资料的更新维护。</w:t>
      </w:r>
    </w:p>
    <w:p w14:paraId="45D052C5">
      <w:pPr>
        <w:spacing w:line="360" w:lineRule="auto"/>
        <w:ind w:firstLine="480" w:firstLineChars="200"/>
        <w:rPr>
          <w:rFonts w:hint="eastAsia" w:ascii="宋体" w:hAnsi="宋体"/>
          <w:bCs/>
          <w:szCs w:val="24"/>
        </w:rPr>
      </w:pPr>
      <w:r>
        <w:rPr>
          <w:rFonts w:hint="eastAsia" w:ascii="宋体" w:hAnsi="宋体"/>
          <w:bCs/>
          <w:szCs w:val="24"/>
        </w:rPr>
        <w:t>中标人提供的资料包括但不限于网络部署方案、网络安装部署手册、配置备份方案、应急方案和运维使用手册。当提供的资料或方案文档不满足中天国富要求时，中标人要求根据中天国富要求完善；当中天国富需中标人现场配合时，中标人应安排工程师现场配合中天国富完成技术资料和使用手册需求。</w:t>
      </w:r>
    </w:p>
    <w:p w14:paraId="640439AA">
      <w:pPr>
        <w:pStyle w:val="5"/>
        <w:numPr>
          <w:ilvl w:val="1"/>
          <w:numId w:val="1"/>
        </w:numPr>
        <w:spacing w:line="360" w:lineRule="auto"/>
        <w:rPr>
          <w:rFonts w:hint="eastAsia"/>
        </w:rPr>
      </w:pPr>
      <w:r>
        <w:rPr>
          <w:rFonts w:hint="eastAsia"/>
          <w:sz w:val="24"/>
          <w:szCs w:val="24"/>
        </w:rPr>
        <w:t>安全要求</w:t>
      </w:r>
    </w:p>
    <w:p w14:paraId="11251064">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（1）网络设备交付时，要求提供最新的稳定版产品，并提供原厂发布的最新、最稳定版本白皮书或证明材料。</w:t>
      </w:r>
    </w:p>
    <w:p w14:paraId="55F299CE">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2）网络设备交付时，中标人需确保提供的产品不存在恶意代码或未授权功能，无违反我国法律法规的模块，并符合证券行业有关技术规范和技术指引。如中标人违反前述承诺，应赔偿因此给中天国富造成的全部损失。</w:t>
      </w:r>
    </w:p>
    <w:p w14:paraId="570346A1">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（3）网络设备上线前，要求免费协助中天国富对设备固件及软件进行信息安全检查（包括但不限于渗透性测试、漏洞扫描）；中天国富进行信息安全常规检查时，如有需求，中标人须免费到场协助。</w:t>
      </w:r>
    </w:p>
    <w:p w14:paraId="33B983AD">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（4）网络设备维保期内，如中天国富发现设备固件及软件存在安全漏洞或隐患，中标人须在10个工作日内免费提供信息安全修复方案，并免费协助中天国富修复信息安全漏洞或隐患。</w:t>
      </w:r>
    </w:p>
    <w:p w14:paraId="6EFD60FB"/>
    <w:p w14:paraId="097E74EC">
      <w:pPr>
        <w:pStyle w:val="5"/>
        <w:numPr>
          <w:ilvl w:val="1"/>
          <w:numId w:val="1"/>
        </w:numPr>
        <w:spacing w:line="360" w:lineRule="auto"/>
        <w:rPr>
          <w:rFonts w:hint="eastAsia" w:asciiTheme="minorEastAsia" w:hAnsiTheme="minorEastAsia" w:eastAsiaTheme="minorEastAsia"/>
          <w:sz w:val="24"/>
          <w:szCs w:val="24"/>
        </w:rPr>
      </w:pPr>
      <w:bookmarkStart w:id="9" w:name="_Toc9389"/>
      <w:bookmarkStart w:id="10" w:name="_Toc27834"/>
      <w:bookmarkStart w:id="11" w:name="_Toc30903"/>
      <w:r>
        <w:rPr>
          <w:rFonts w:hint="eastAsia" w:asciiTheme="minorEastAsia" w:hAnsiTheme="minorEastAsia" w:eastAsiaTheme="minorEastAsia"/>
          <w:sz w:val="24"/>
          <w:szCs w:val="24"/>
        </w:rPr>
        <w:t>保密要求</w:t>
      </w:r>
      <w:bookmarkEnd w:id="9"/>
      <w:bookmarkEnd w:id="10"/>
      <w:bookmarkEnd w:id="11"/>
    </w:p>
    <w:p w14:paraId="53583F66">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（1）投标人对因履行本项目而获悉的所有信息和资料（包括但不限于本项目所涉的方案、价格、管理等信息以及资料）均负有保密义务。</w:t>
      </w:r>
    </w:p>
    <w:p w14:paraId="7B8518B3">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（2）未经中天国富书面允许，投标人不得将提供给中天国富的商业信息和包含中天国富数据的资料透露给第三方。</w:t>
      </w:r>
    </w:p>
    <w:p w14:paraId="3C117367">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（3）投标人要求履行前述保密义务，直至投标人和中天国富书面同意解除此项义务，或事实上不会因违反前述保密义务而给中天国富造成任何形式的损害时为止。</w:t>
      </w:r>
    </w:p>
    <w:p w14:paraId="0485114F">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（4）投标人违反前述保密义务，应赔偿因此给中天国富造成的全部损失。</w:t>
      </w:r>
    </w:p>
    <w:p w14:paraId="7FF5C3D6">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知识产权要求</w:t>
      </w:r>
    </w:p>
    <w:p w14:paraId="1266D52B">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须保证本项目所使用之信息、技术、资料、文档、软件、设备设施、工具及交付的服务报告均未侵犯任何第三方的知识产权或违反其与第三方签订的合同、协议等。如涉及第三方知识产权，投标人应依法获得必要之许可，并提供许可证明。</w:t>
      </w:r>
      <w:bookmarkStart w:id="12" w:name="OLE_LINK18"/>
      <w:bookmarkStart w:id="13" w:name="OLE_LINK19"/>
      <w:r>
        <w:rPr>
          <w:rFonts w:hint="eastAsia" w:asciiTheme="minorEastAsia" w:hAnsiTheme="minorEastAsia" w:eastAsiaTheme="minorEastAsia"/>
          <w:szCs w:val="24"/>
        </w:rPr>
        <w:t>如投标人未提前告知且未提供许可证明，将由投标人全部承担第三方知识产权的所有法律诉讼费用及相关的赔偿费用</w:t>
      </w:r>
      <w:bookmarkEnd w:id="12"/>
      <w:bookmarkEnd w:id="13"/>
      <w:r>
        <w:rPr>
          <w:rFonts w:hint="eastAsia" w:asciiTheme="minorEastAsia" w:hAnsiTheme="minorEastAsia" w:eastAsiaTheme="minorEastAsia"/>
          <w:szCs w:val="24"/>
        </w:rPr>
        <w:t>。</w:t>
      </w:r>
    </w:p>
    <w:p w14:paraId="0E0C7FCE">
      <w:pPr>
        <w:rPr>
          <w:rFonts w:hint="eastAsia" w:asciiTheme="minorEastAsia" w:hAnsiTheme="minorEastAsia" w:eastAsiaTheme="minorEastAsia"/>
          <w:szCs w:val="24"/>
        </w:rPr>
      </w:pPr>
      <w:r>
        <w:rPr>
          <w:rFonts w:hint="eastAsia" w:asciiTheme="minorEastAsia" w:hAnsiTheme="minorEastAsia" w:eastAsiaTheme="minorEastAsia"/>
          <w:szCs w:val="24"/>
        </w:rPr>
        <w:br w:type="page"/>
      </w:r>
    </w:p>
    <w:p w14:paraId="108FC99F">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项目验收与实施</w:t>
      </w:r>
    </w:p>
    <w:p w14:paraId="77368CAF">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3.1</w:t>
      </w:r>
      <w:r>
        <w:rPr>
          <w:rFonts w:hint="eastAsia" w:asciiTheme="minorEastAsia" w:hAnsiTheme="minorEastAsia" w:eastAsiaTheme="minorEastAsia"/>
          <w:sz w:val="24"/>
          <w:szCs w:val="24"/>
          <w:lang w:val="en-US" w:eastAsia="zh-CN"/>
        </w:rPr>
        <w:t>2</w:t>
      </w:r>
      <w:r>
        <w:rPr>
          <w:rFonts w:hint="eastAsia" w:asciiTheme="minorEastAsia" w:hAnsiTheme="minorEastAsia" w:eastAsiaTheme="minorEastAsia"/>
          <w:sz w:val="24"/>
          <w:szCs w:val="24"/>
        </w:rPr>
        <w:t>.1项目实施</w:t>
      </w:r>
      <w:r>
        <w:rPr>
          <w:rFonts w:asciiTheme="minorEastAsia" w:hAnsiTheme="minorEastAsia" w:eastAsiaTheme="minorEastAsia"/>
          <w:sz w:val="24"/>
          <w:szCs w:val="24"/>
        </w:rPr>
        <w:t>要求</w:t>
      </w:r>
    </w:p>
    <w:p w14:paraId="02C0110F">
      <w:pPr>
        <w:autoSpaceDE w:val="0"/>
        <w:autoSpaceDN w:val="0"/>
        <w:adjustRightInd w:val="0"/>
        <w:spacing w:line="360" w:lineRule="auto"/>
        <w:ind w:firstLine="600" w:firstLineChars="250"/>
        <w:jc w:val="left"/>
        <w:rPr>
          <w:rFonts w:hint="eastAsia" w:cs="宋体" w:asciiTheme="minorEastAsia" w:hAnsiTheme="minorEastAsia" w:eastAsiaTheme="minorEastAsia"/>
          <w:kern w:val="0"/>
          <w:szCs w:val="24"/>
        </w:rPr>
      </w:pPr>
      <w:r>
        <w:rPr>
          <w:rFonts w:hint="eastAsia" w:cs="宋体" w:asciiTheme="minorEastAsia" w:hAnsiTheme="minorEastAsia" w:eastAsiaTheme="minorEastAsia"/>
          <w:kern w:val="0"/>
          <w:szCs w:val="24"/>
        </w:rPr>
        <w:t>要求原厂提供设备上线割接方案并且全程保障项目实施。</w:t>
      </w:r>
    </w:p>
    <w:p w14:paraId="1D5B2D1D">
      <w:pPr>
        <w:autoSpaceDE w:val="0"/>
        <w:autoSpaceDN w:val="0"/>
        <w:adjustRightInd w:val="0"/>
        <w:spacing w:line="360" w:lineRule="auto"/>
        <w:ind w:firstLine="240" w:firstLineChars="100"/>
        <w:jc w:val="left"/>
        <w:rPr>
          <w:rFonts w:hint="eastAsia" w:cs="宋体" w:asciiTheme="minorEastAsia" w:hAnsiTheme="minorEastAsia" w:eastAsiaTheme="minorEastAsia"/>
          <w:kern w:val="0"/>
          <w:szCs w:val="24"/>
        </w:rPr>
      </w:pPr>
      <w:r>
        <w:rPr>
          <w:rFonts w:hint="eastAsia" w:cs="宋体" w:asciiTheme="minorEastAsia" w:hAnsiTheme="minorEastAsia" w:eastAsiaTheme="minorEastAsia"/>
          <w:kern w:val="0"/>
          <w:szCs w:val="24"/>
        </w:rPr>
        <w:t>项目投标人项目建设应满足以下几点要求：</w:t>
      </w:r>
    </w:p>
    <w:p w14:paraId="4DDE8203">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（1）投标人在需求设计阶段需要与招标人派出的项目经理，一同参与网络架构的需求确认。项目设计方案中应包含项目工作计划，以及需要招标人提供的各项准备工作内容。</w:t>
      </w:r>
    </w:p>
    <w:p w14:paraId="6C2E7AB7">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（2）投标人需提供详尽的项目实施时间表和进度计划以及各阶段技术人员的安排。</w:t>
      </w:r>
    </w:p>
    <w:p w14:paraId="4E269F36">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3）在项目建设过程中对产品的交付进度向招标人派出的项目经理进行定期汇报，确保项目进度公开透明，按计划进行，项目组中如果有人员变动应该及时通知招标人。投标人项目经理每周提供项目进度表，项目变更须经招标人项目经理签字同意。</w:t>
      </w:r>
    </w:p>
    <w:p w14:paraId="3AB6C7A3">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（4）在实施过程中对产品的项目质量除由投标人按照自身的控制体系进行控制管理外，还需由招标人派出的质量监督员定期进行监督控制。</w:t>
      </w:r>
    </w:p>
    <w:p w14:paraId="11159D12">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3.12.2</w:t>
      </w:r>
      <w:r>
        <w:rPr>
          <w:rFonts w:asciiTheme="minorEastAsia" w:hAnsiTheme="minorEastAsia" w:eastAsiaTheme="minorEastAsia"/>
          <w:sz w:val="24"/>
          <w:szCs w:val="24"/>
        </w:rPr>
        <w:t>.</w:t>
      </w:r>
      <w:r>
        <w:rPr>
          <w:rFonts w:hint="eastAsia" w:asciiTheme="minorEastAsia" w:hAnsiTheme="minorEastAsia" w:eastAsiaTheme="minorEastAsia"/>
          <w:sz w:val="24"/>
          <w:szCs w:val="24"/>
        </w:rPr>
        <w:t>项目施工范围</w:t>
      </w:r>
    </w:p>
    <w:p w14:paraId="053781C0">
      <w:pPr>
        <w:spacing w:line="360" w:lineRule="auto"/>
        <w:ind w:firstLine="480" w:firstLineChars="200"/>
        <w:rPr>
          <w:rFonts w:hint="eastAsia" w:ascii="宋体" w:hAnsi="宋体"/>
          <w:bCs/>
          <w:szCs w:val="24"/>
        </w:rPr>
      </w:pPr>
      <w:r>
        <w:rPr>
          <w:rFonts w:hint="eastAsia" w:ascii="宋体" w:hAnsi="宋体"/>
          <w:bCs/>
          <w:szCs w:val="24"/>
        </w:rPr>
        <w:t>本次项目时间紧迫，</w:t>
      </w:r>
      <w:r>
        <w:rPr>
          <w:rFonts w:hint="eastAsia" w:ascii="宋体" w:hAnsi="宋体"/>
          <w:szCs w:val="24"/>
        </w:rPr>
        <w:t>中标人</w:t>
      </w:r>
      <w:r>
        <w:rPr>
          <w:rFonts w:hint="eastAsia" w:ascii="宋体" w:hAnsi="宋体"/>
          <w:bCs/>
          <w:szCs w:val="24"/>
        </w:rPr>
        <w:t>按照</w:t>
      </w:r>
      <w:r>
        <w:rPr>
          <w:rFonts w:hint="eastAsia" w:cs="宋体" w:asciiTheme="minorEastAsia" w:hAnsiTheme="minorEastAsia" w:eastAsiaTheme="minorEastAsia"/>
          <w:kern w:val="0"/>
          <w:szCs w:val="24"/>
        </w:rPr>
        <w:t>招标人</w:t>
      </w:r>
      <w:r>
        <w:rPr>
          <w:rFonts w:hint="eastAsia" w:ascii="宋体" w:hAnsi="宋体"/>
          <w:bCs/>
          <w:szCs w:val="24"/>
        </w:rPr>
        <w:t>要求完成以下工作：</w:t>
      </w:r>
    </w:p>
    <w:p w14:paraId="3D795DCB">
      <w:pPr>
        <w:pStyle w:val="48"/>
        <w:spacing w:line="360" w:lineRule="auto"/>
        <w:ind w:left="420" w:firstLine="0" w:firstLineChars="0"/>
        <w:rPr>
          <w:rFonts w:hint="eastAsia" w:ascii="宋体" w:hAnsi="宋体"/>
          <w:szCs w:val="24"/>
        </w:rPr>
      </w:pPr>
      <w:r>
        <w:rPr>
          <w:rFonts w:hint="eastAsia" w:asciiTheme="minorEastAsia" w:hAnsiTheme="minorEastAsia" w:eastAsiaTheme="minorEastAsia"/>
          <w:szCs w:val="24"/>
        </w:rPr>
        <w:t>（</w:t>
      </w:r>
      <w:r>
        <w:rPr>
          <w:rFonts w:hint="eastAsia" w:ascii="宋体" w:hAnsi="宋体"/>
          <w:szCs w:val="24"/>
        </w:rPr>
        <w:t>1）网络设备的供货、上架、安装、布线、标签、调试、测试；</w:t>
      </w:r>
    </w:p>
    <w:p w14:paraId="741013AD">
      <w:pPr>
        <w:pStyle w:val="48"/>
        <w:spacing w:line="360" w:lineRule="auto"/>
        <w:ind w:left="420" w:firstLine="0" w:firstLineChars="0"/>
        <w:rPr>
          <w:rFonts w:hint="eastAsia" w:ascii="宋体" w:hAnsi="宋体"/>
          <w:szCs w:val="24"/>
        </w:rPr>
      </w:pPr>
      <w:r>
        <w:rPr>
          <w:rFonts w:hint="eastAsia" w:asciiTheme="minorEastAsia" w:hAnsiTheme="minorEastAsia" w:eastAsiaTheme="minorEastAsia"/>
          <w:szCs w:val="24"/>
        </w:rPr>
        <w:t>（</w:t>
      </w:r>
      <w:r>
        <w:rPr>
          <w:rFonts w:hint="eastAsia" w:ascii="宋体" w:hAnsi="宋体"/>
          <w:szCs w:val="24"/>
        </w:rPr>
        <w:t>2）网络设备软件版本升级至原厂推荐的最新最稳定版本；</w:t>
      </w:r>
    </w:p>
    <w:p w14:paraId="27CFD95F">
      <w:pPr>
        <w:pStyle w:val="48"/>
        <w:spacing w:line="360" w:lineRule="auto"/>
        <w:ind w:left="420" w:firstLine="0" w:firstLineChars="0"/>
        <w:rPr>
          <w:rFonts w:hint="eastAsia" w:ascii="宋体" w:hAnsi="宋体"/>
          <w:szCs w:val="24"/>
        </w:rPr>
      </w:pPr>
      <w:r>
        <w:rPr>
          <w:rFonts w:hint="eastAsia" w:asciiTheme="minorEastAsia" w:hAnsiTheme="minorEastAsia" w:eastAsiaTheme="minorEastAsia"/>
          <w:szCs w:val="24"/>
        </w:rPr>
        <w:t>（</w:t>
      </w:r>
      <w:r>
        <w:rPr>
          <w:rFonts w:hint="eastAsia" w:ascii="宋体" w:hAnsi="宋体"/>
          <w:szCs w:val="24"/>
        </w:rPr>
        <w:t>3）整理网络拓扑图、IP地址规划表、网络互联信息等文档；</w:t>
      </w:r>
    </w:p>
    <w:p w14:paraId="6BD2DF5C">
      <w:pPr>
        <w:pStyle w:val="48"/>
        <w:spacing w:line="360" w:lineRule="auto"/>
        <w:ind w:left="420" w:firstLine="0" w:firstLineChars="0"/>
        <w:rPr>
          <w:rFonts w:hint="eastAsia" w:ascii="宋体" w:hAnsi="宋体"/>
          <w:szCs w:val="24"/>
        </w:rPr>
      </w:pPr>
      <w:r>
        <w:rPr>
          <w:rFonts w:hint="eastAsia" w:asciiTheme="minorEastAsia" w:hAnsiTheme="minorEastAsia" w:eastAsiaTheme="minorEastAsia"/>
          <w:szCs w:val="24"/>
        </w:rPr>
        <w:t>（</w:t>
      </w:r>
      <w:r>
        <w:rPr>
          <w:rFonts w:hint="eastAsia" w:ascii="宋体" w:hAnsi="宋体"/>
          <w:szCs w:val="24"/>
        </w:rPr>
        <w:t>4）完成网络切换测试和变更；</w:t>
      </w:r>
    </w:p>
    <w:p w14:paraId="13CFC210">
      <w:pPr>
        <w:pStyle w:val="48"/>
        <w:spacing w:line="360" w:lineRule="auto"/>
        <w:ind w:left="420" w:firstLine="0" w:firstLineChars="0"/>
        <w:rPr>
          <w:rFonts w:hint="eastAsia" w:ascii="宋体" w:hAnsi="宋体"/>
          <w:szCs w:val="24"/>
        </w:rPr>
      </w:pPr>
      <w:r>
        <w:rPr>
          <w:rFonts w:hint="eastAsia" w:asciiTheme="minorEastAsia" w:hAnsiTheme="minorEastAsia" w:eastAsiaTheme="minorEastAsia"/>
          <w:szCs w:val="24"/>
        </w:rPr>
        <w:t>（</w:t>
      </w:r>
      <w:r>
        <w:rPr>
          <w:rFonts w:hint="eastAsia" w:ascii="宋体" w:hAnsi="宋体"/>
          <w:szCs w:val="24"/>
        </w:rPr>
        <w:t>5）配合完成贵阳办公和测试区域迁移到深圳的网络变更。</w:t>
      </w:r>
    </w:p>
    <w:p w14:paraId="24549A2F">
      <w:pPr>
        <w:pStyle w:val="6"/>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3.12.</w:t>
      </w:r>
      <w:r>
        <w:rPr>
          <w:rFonts w:asciiTheme="minorEastAsia" w:hAnsiTheme="minorEastAsia" w:eastAsiaTheme="minorEastAsia"/>
          <w:sz w:val="24"/>
          <w:szCs w:val="24"/>
        </w:rPr>
        <w:t>3.</w:t>
      </w:r>
      <w:r>
        <w:rPr>
          <w:rFonts w:hint="eastAsia" w:asciiTheme="minorEastAsia" w:hAnsiTheme="minorEastAsia" w:eastAsiaTheme="minorEastAsia"/>
          <w:sz w:val="24"/>
          <w:szCs w:val="24"/>
        </w:rPr>
        <w:t>项目验收</w:t>
      </w:r>
      <w:r>
        <w:rPr>
          <w:rFonts w:asciiTheme="minorEastAsia" w:hAnsiTheme="minorEastAsia" w:eastAsiaTheme="minorEastAsia"/>
          <w:sz w:val="24"/>
          <w:szCs w:val="24"/>
        </w:rPr>
        <w:t>要求</w:t>
      </w:r>
    </w:p>
    <w:p w14:paraId="5CABC3A8">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（1）合同项下的所有产品及服务必须通过验收，包括到货验收、上线安装验收和竣工验收。</w:t>
      </w:r>
    </w:p>
    <w:p w14:paraId="447DE1EB">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（2）投标人在产品到货后，在进行安装前，要按合同规定向招标人提供产品到货清单，根据到货清单，招标人将进行产品到货验收，以确认产品到货型号与数量是否与合同相符。</w:t>
      </w:r>
    </w:p>
    <w:p w14:paraId="2C50BEB4">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（3）投标人必须在产品安装后进行上线安装验收。</w:t>
      </w:r>
    </w:p>
    <w:p w14:paraId="30B0BA10">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4）上线安装验收通过后，产品进入试运行期，贵阳办公测试系统将陆续安排变更迁移到深圳（预计2025年全部完成），所有业务迁移完成后，投标人应按合同规定的测试项目进行竣工验收，验收测试的依据是招标人与投标人共同确认的需求书。经验收合格后，投标人应向招标人提交竣工验收报告。</w:t>
      </w:r>
    </w:p>
    <w:p w14:paraId="06DEB3E9">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提供具体的</w:t>
      </w:r>
      <w:r>
        <w:rPr>
          <w:rFonts w:hint="eastAsia" w:asciiTheme="minorEastAsia" w:hAnsiTheme="minorEastAsia" w:eastAsiaTheme="minorEastAsia"/>
          <w:szCs w:val="24"/>
        </w:rPr>
        <w:t>安装和运维</w:t>
      </w:r>
      <w:r>
        <w:rPr>
          <w:rFonts w:asciiTheme="minorEastAsia" w:hAnsiTheme="minorEastAsia" w:eastAsiaTheme="minorEastAsia"/>
          <w:szCs w:val="24"/>
        </w:rPr>
        <w:t>文档。</w:t>
      </w:r>
    </w:p>
    <w:p w14:paraId="28A898AF">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完成时间</w:t>
      </w:r>
    </w:p>
    <w:p w14:paraId="66F63D66">
      <w:pPr>
        <w:autoSpaceDE w:val="0"/>
        <w:autoSpaceDN w:val="0"/>
        <w:adjustRightInd w:val="0"/>
        <w:spacing w:line="360" w:lineRule="auto"/>
        <w:ind w:firstLine="480" w:firstLineChars="200"/>
        <w:jc w:val="left"/>
        <w:rPr>
          <w:rFonts w:hint="eastAsia" w:cs="TimesNewRomanPSMT" w:asciiTheme="minorEastAsia" w:hAnsiTheme="minorEastAsia" w:eastAsiaTheme="minorEastAsia"/>
          <w:kern w:val="0"/>
          <w:szCs w:val="24"/>
        </w:rPr>
      </w:pPr>
      <w:r>
        <w:rPr>
          <w:rFonts w:hint="eastAsia" w:cs="TimesNewRomanPSMT" w:asciiTheme="minorEastAsia" w:hAnsiTheme="minorEastAsia" w:eastAsiaTheme="minorEastAsia"/>
          <w:kern w:val="0"/>
          <w:szCs w:val="24"/>
        </w:rPr>
        <w:t>投标人须在投标文件中提供详细实施计划。</w:t>
      </w:r>
    </w:p>
    <w:p w14:paraId="0F9E6B5E">
      <w:pPr>
        <w:autoSpaceDE w:val="0"/>
        <w:autoSpaceDN w:val="0"/>
        <w:adjustRightInd w:val="0"/>
        <w:spacing w:line="360" w:lineRule="auto"/>
        <w:ind w:firstLine="480" w:firstLineChars="200"/>
        <w:jc w:val="left"/>
      </w:pPr>
      <w:r>
        <w:rPr>
          <w:rFonts w:hint="eastAsia" w:cs="TimesNewRomanPSMT" w:asciiTheme="minorEastAsia" w:hAnsiTheme="minorEastAsia" w:eastAsiaTheme="minorEastAsia"/>
          <w:kern w:val="0"/>
          <w:szCs w:val="24"/>
        </w:rPr>
        <w:t>投标人在收到招标单位正式发出的《中标通知书》起1个月内完成设备供货，在施工环境具备后1周内完成网络正式投产工作。</w:t>
      </w:r>
    </w:p>
    <w:p w14:paraId="4B89AB8C">
      <w:pPr>
        <w:pStyle w:val="4"/>
        <w:numPr>
          <w:ilvl w:val="0"/>
          <w:numId w:val="1"/>
        </w:numPr>
        <w:spacing w:line="360" w:lineRule="auto"/>
        <w:rPr>
          <w:rFonts w:hint="eastAsia" w:ascii="宋体" w:hAnsi="宋体"/>
          <w:sz w:val="24"/>
          <w:szCs w:val="24"/>
        </w:rPr>
      </w:pPr>
      <w:bookmarkStart w:id="14" w:name="_Toc196135357"/>
      <w:r>
        <w:rPr>
          <w:rFonts w:hint="eastAsia" w:ascii="宋体" w:hAnsi="宋体"/>
          <w:sz w:val="24"/>
          <w:szCs w:val="24"/>
        </w:rPr>
        <w:t>投标条件</w:t>
      </w:r>
      <w:bookmarkEnd w:id="14"/>
    </w:p>
    <w:p w14:paraId="7B86EEC0">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对投标人的要求</w:t>
      </w:r>
    </w:p>
    <w:p w14:paraId="0282343D">
      <w:pPr>
        <w:spacing w:line="360" w:lineRule="auto"/>
        <w:ind w:firstLine="480" w:firstLineChars="200"/>
        <w:jc w:val="left"/>
        <w:rPr>
          <w:rFonts w:hint="eastAsia" w:cs="宋体" w:asciiTheme="minorEastAsia" w:hAnsiTheme="minorEastAsia" w:eastAsiaTheme="minorEastAsia"/>
          <w:kern w:val="0"/>
          <w:szCs w:val="24"/>
        </w:rPr>
      </w:pPr>
      <w:r>
        <w:rPr>
          <w:rFonts w:hint="eastAsia" w:asciiTheme="minorEastAsia" w:hAnsiTheme="minorEastAsia" w:eastAsiaTheme="minorEastAsia"/>
          <w:szCs w:val="24"/>
        </w:rPr>
        <w:t>（</w:t>
      </w:r>
      <w:r>
        <w:rPr>
          <w:rFonts w:hint="eastAsia" w:cs="宋体" w:asciiTheme="minorEastAsia" w:hAnsiTheme="minorEastAsia" w:eastAsiaTheme="minorEastAsia"/>
          <w:kern w:val="0"/>
          <w:szCs w:val="24"/>
        </w:rPr>
        <w:t>1）必须保证所供产品为原装正牌产品。如所提供假冒伪劣产品引起法律纠纷及造成相关损失，由中标人承担全部责任和经济损失。中标人不得转包，否则引起法律纠纷及造成相关损失，由中标人承担全部责任和经济损失。</w:t>
      </w:r>
    </w:p>
    <w:p w14:paraId="581ABEA2">
      <w:pPr>
        <w:spacing w:line="360" w:lineRule="auto"/>
        <w:ind w:firstLine="480" w:firstLineChars="200"/>
        <w:jc w:val="left"/>
        <w:rPr>
          <w:rFonts w:hint="eastAsia" w:cs="宋体" w:asciiTheme="minorEastAsia" w:hAnsiTheme="minorEastAsia" w:eastAsiaTheme="minorEastAsia"/>
          <w:kern w:val="0"/>
          <w:szCs w:val="24"/>
        </w:rPr>
      </w:pPr>
      <w:r>
        <w:rPr>
          <w:rFonts w:hint="eastAsia" w:asciiTheme="minorEastAsia" w:hAnsiTheme="minorEastAsia" w:eastAsiaTheme="minorEastAsia"/>
          <w:szCs w:val="24"/>
        </w:rPr>
        <w:t>（</w:t>
      </w:r>
      <w:r>
        <w:rPr>
          <w:rFonts w:hint="eastAsia" w:cs="宋体" w:asciiTheme="minorEastAsia" w:hAnsiTheme="minorEastAsia" w:eastAsiaTheme="minorEastAsia"/>
          <w:kern w:val="0"/>
          <w:szCs w:val="24"/>
        </w:rPr>
        <w:t>2）</w:t>
      </w:r>
      <w:r>
        <w:rPr>
          <w:rFonts w:hint="eastAsia" w:ascii="宋体" w:hAnsi="宋体"/>
          <w:bCs/>
          <w:szCs w:val="24"/>
        </w:rPr>
        <w:t>投标人</w:t>
      </w:r>
      <w:r>
        <w:rPr>
          <w:rFonts w:hint="eastAsia" w:cs="宋体" w:asciiTheme="minorEastAsia" w:hAnsiTheme="minorEastAsia" w:eastAsiaTheme="minorEastAsia"/>
          <w:kern w:val="0"/>
          <w:szCs w:val="24"/>
        </w:rPr>
        <w:t>应在中国注册并遵守有关的中国法律和规章条例。</w:t>
      </w:r>
    </w:p>
    <w:p w14:paraId="151028B8">
      <w:pPr>
        <w:spacing w:line="360" w:lineRule="auto"/>
        <w:ind w:firstLine="480" w:firstLineChars="200"/>
        <w:jc w:val="left"/>
        <w:rPr>
          <w:rFonts w:hint="eastAsia" w:cs="宋体" w:asciiTheme="minorEastAsia" w:hAnsiTheme="minorEastAsia" w:eastAsiaTheme="minorEastAsia"/>
          <w:kern w:val="0"/>
          <w:szCs w:val="24"/>
        </w:rPr>
      </w:pPr>
      <w:r>
        <w:rPr>
          <w:rFonts w:hint="eastAsia" w:asciiTheme="minorEastAsia" w:hAnsiTheme="minorEastAsia" w:eastAsiaTheme="minorEastAsia"/>
          <w:szCs w:val="24"/>
        </w:rPr>
        <w:t>（</w:t>
      </w:r>
      <w:r>
        <w:rPr>
          <w:rFonts w:hint="eastAsia" w:cs="宋体" w:asciiTheme="minorEastAsia" w:hAnsiTheme="minorEastAsia" w:eastAsiaTheme="minorEastAsia"/>
          <w:kern w:val="0"/>
          <w:szCs w:val="24"/>
        </w:rPr>
        <w:t>3）</w:t>
      </w:r>
      <w:r>
        <w:rPr>
          <w:rFonts w:hint="eastAsia" w:ascii="宋体" w:hAnsi="宋体"/>
          <w:bCs/>
          <w:szCs w:val="24"/>
        </w:rPr>
        <w:t>投标人</w:t>
      </w:r>
      <w:r>
        <w:rPr>
          <w:rFonts w:hint="eastAsia" w:cs="宋体" w:asciiTheme="minorEastAsia" w:hAnsiTheme="minorEastAsia" w:eastAsiaTheme="minorEastAsia"/>
          <w:kern w:val="0"/>
          <w:szCs w:val="24"/>
        </w:rPr>
        <w:t>应对项目建设过程中所可能产生的各种文档作一一描述，包括文档名称、内容、提交用户的时间和方式等。</w:t>
      </w:r>
    </w:p>
    <w:p w14:paraId="27F6D97C">
      <w:pPr>
        <w:spacing w:line="360" w:lineRule="auto"/>
        <w:ind w:firstLine="480" w:firstLineChars="200"/>
        <w:jc w:val="left"/>
        <w:rPr>
          <w:rFonts w:hint="eastAsia" w:cs="宋体" w:asciiTheme="minorEastAsia" w:hAnsiTheme="minorEastAsia" w:eastAsiaTheme="minorEastAsia"/>
          <w:kern w:val="0"/>
          <w:szCs w:val="24"/>
        </w:rPr>
      </w:pPr>
      <w:r>
        <w:rPr>
          <w:rFonts w:hint="eastAsia" w:asciiTheme="minorEastAsia" w:hAnsiTheme="minorEastAsia" w:eastAsiaTheme="minorEastAsia"/>
          <w:szCs w:val="24"/>
        </w:rPr>
        <w:t>（</w:t>
      </w:r>
      <w:r>
        <w:rPr>
          <w:rFonts w:hint="eastAsia" w:cs="宋体" w:asciiTheme="minorEastAsia" w:hAnsiTheme="minorEastAsia" w:eastAsiaTheme="minorEastAsia"/>
          <w:kern w:val="0"/>
          <w:szCs w:val="24"/>
        </w:rPr>
        <w:t>4）</w:t>
      </w:r>
      <w:r>
        <w:rPr>
          <w:rFonts w:hint="eastAsia" w:ascii="宋体" w:hAnsi="宋体"/>
          <w:bCs/>
          <w:szCs w:val="24"/>
        </w:rPr>
        <w:t>投标人</w:t>
      </w:r>
      <w:r>
        <w:rPr>
          <w:rFonts w:hint="eastAsia" w:cs="宋体" w:asciiTheme="minorEastAsia" w:hAnsiTheme="minorEastAsia" w:eastAsiaTheme="minorEastAsia"/>
          <w:kern w:val="0"/>
          <w:szCs w:val="24"/>
        </w:rPr>
        <w:t>必须有足够能力保证按时按质完成投标项目、售后服务和技术支持良好的信誉，在中标后应认真组织好技术及管理队伍配合招标人完成项目实施，并做好工作计划提出长期保修、维护、服务以及今后技术支持的措施、计划和承诺。</w:t>
      </w:r>
    </w:p>
    <w:p w14:paraId="44023E31">
      <w:pPr>
        <w:spacing w:line="360" w:lineRule="auto"/>
        <w:ind w:firstLine="480" w:firstLineChars="200"/>
        <w:jc w:val="left"/>
        <w:rPr>
          <w:rFonts w:hint="eastAsia" w:cs="宋体" w:asciiTheme="minorEastAsia" w:hAnsiTheme="minorEastAsia" w:eastAsiaTheme="minorEastAsia"/>
          <w:kern w:val="0"/>
          <w:szCs w:val="24"/>
        </w:rPr>
      </w:pPr>
      <w:r>
        <w:rPr>
          <w:rFonts w:hint="eastAsia" w:asciiTheme="minorEastAsia" w:hAnsiTheme="minorEastAsia" w:eastAsiaTheme="minorEastAsia"/>
          <w:szCs w:val="24"/>
        </w:rPr>
        <w:t>（</w:t>
      </w:r>
      <w:r>
        <w:rPr>
          <w:rFonts w:cs="宋体" w:asciiTheme="minorEastAsia" w:hAnsiTheme="minorEastAsia" w:eastAsiaTheme="minorEastAsia"/>
          <w:kern w:val="0"/>
          <w:szCs w:val="24"/>
        </w:rPr>
        <w:t>5</w:t>
      </w:r>
      <w:r>
        <w:rPr>
          <w:rFonts w:hint="eastAsia" w:cs="宋体" w:asciiTheme="minorEastAsia" w:hAnsiTheme="minorEastAsia" w:eastAsiaTheme="minorEastAsia"/>
          <w:kern w:val="0"/>
          <w:szCs w:val="24"/>
        </w:rPr>
        <w:t>）</w:t>
      </w:r>
      <w:r>
        <w:rPr>
          <w:rFonts w:hint="eastAsia" w:ascii="宋体" w:hAnsi="宋体"/>
          <w:bCs/>
          <w:szCs w:val="24"/>
        </w:rPr>
        <w:t>投标人</w:t>
      </w:r>
      <w:r>
        <w:rPr>
          <w:rFonts w:hint="eastAsia" w:cs="宋体" w:asciiTheme="minorEastAsia" w:hAnsiTheme="minorEastAsia" w:eastAsiaTheme="minorEastAsia"/>
          <w:kern w:val="0"/>
          <w:szCs w:val="24"/>
        </w:rPr>
        <w:t>必须保证所供材料真实性，否则废标。</w:t>
      </w:r>
    </w:p>
    <w:p w14:paraId="2518B6F8">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投标人资格要求</w:t>
      </w:r>
    </w:p>
    <w:p w14:paraId="4030016A">
      <w:pPr>
        <w:spacing w:line="360" w:lineRule="auto"/>
        <w:ind w:firstLine="480" w:firstLineChars="200"/>
        <w:jc w:val="left"/>
        <w:rPr>
          <w:rFonts w:hint="eastAsia" w:asciiTheme="minorEastAsia" w:hAnsiTheme="minorEastAsia" w:eastAsiaTheme="minorEastAsia"/>
          <w:szCs w:val="24"/>
        </w:rPr>
      </w:pPr>
      <w:r>
        <w:rPr>
          <w:rFonts w:hint="eastAsia" w:asciiTheme="minorEastAsia" w:hAnsiTheme="minorEastAsia" w:eastAsiaTheme="minorEastAsia"/>
          <w:szCs w:val="24"/>
        </w:rPr>
        <w:t>（1）投标人须为中华人民共和国国内的独立民事主体；</w:t>
      </w:r>
    </w:p>
    <w:p w14:paraId="0CB317A0">
      <w:pPr>
        <w:spacing w:line="360" w:lineRule="auto"/>
        <w:ind w:firstLine="480" w:firstLineChars="200"/>
        <w:jc w:val="left"/>
        <w:rPr>
          <w:rFonts w:hint="eastAsia" w:asciiTheme="minorEastAsia" w:hAnsiTheme="minorEastAsia" w:eastAsiaTheme="minorEastAsia"/>
          <w:szCs w:val="24"/>
        </w:rPr>
      </w:pPr>
      <w:r>
        <w:rPr>
          <w:rFonts w:hint="eastAsia" w:asciiTheme="minorEastAsia" w:hAnsiTheme="minorEastAsia" w:eastAsiaTheme="minorEastAsia"/>
          <w:szCs w:val="24"/>
        </w:rPr>
        <w:t>（2）投标人注册资本金不少于5000万元，人员规模不低于200人，成立时间不少于5年；</w:t>
      </w:r>
    </w:p>
    <w:p w14:paraId="4D9E1FFA">
      <w:pPr>
        <w:spacing w:line="360" w:lineRule="auto"/>
        <w:ind w:firstLine="480" w:firstLineChars="200"/>
        <w:jc w:val="left"/>
        <w:rPr>
          <w:rFonts w:hint="eastAsia" w:asciiTheme="minorEastAsia" w:hAnsiTheme="minorEastAsia" w:eastAsiaTheme="minorEastAsia"/>
          <w:szCs w:val="24"/>
        </w:rPr>
      </w:pPr>
      <w:r>
        <w:rPr>
          <w:rFonts w:hint="eastAsia" w:asciiTheme="minorEastAsia" w:hAnsiTheme="minorEastAsia" w:eastAsiaTheme="minorEastAsia"/>
          <w:szCs w:val="24"/>
        </w:rPr>
        <w:t>（3）投标人不得被工商行政管理机关在国家企业信用信息公示系统中列入严重违法失信企业名单；</w:t>
      </w:r>
    </w:p>
    <w:p w14:paraId="463DA544">
      <w:pPr>
        <w:spacing w:line="360" w:lineRule="auto"/>
        <w:ind w:firstLine="480" w:firstLineChars="200"/>
        <w:jc w:val="left"/>
        <w:rPr>
          <w:rFonts w:hint="eastAsia" w:asciiTheme="minorEastAsia" w:hAnsiTheme="minorEastAsia" w:eastAsiaTheme="minorEastAsia"/>
          <w:szCs w:val="24"/>
        </w:rPr>
      </w:pPr>
      <w:r>
        <w:rPr>
          <w:rFonts w:hint="eastAsia" w:asciiTheme="minorEastAsia" w:hAnsiTheme="minorEastAsia" w:eastAsiaTheme="minorEastAsia"/>
          <w:szCs w:val="24"/>
        </w:rPr>
        <w:t>（4）投标人应具备承担本项目的资质条件、能力和信誉；</w:t>
      </w:r>
    </w:p>
    <w:p w14:paraId="45FA0DAD">
      <w:pPr>
        <w:spacing w:line="360" w:lineRule="auto"/>
        <w:ind w:firstLine="480" w:firstLineChars="200"/>
        <w:jc w:val="left"/>
        <w:rPr>
          <w:rFonts w:hint="eastAsia" w:asciiTheme="minorEastAsia" w:hAnsiTheme="minorEastAsia" w:eastAsiaTheme="minorEastAsia"/>
          <w:szCs w:val="24"/>
        </w:rPr>
      </w:pPr>
      <w:r>
        <w:rPr>
          <w:rFonts w:hint="eastAsia" w:asciiTheme="minorEastAsia" w:hAnsiTheme="minorEastAsia" w:eastAsiaTheme="minorEastAsia"/>
          <w:szCs w:val="24"/>
        </w:rPr>
        <w:t>（5）本次公开招标不接受联合体投标，不接受项目转包。</w:t>
      </w:r>
    </w:p>
    <w:p w14:paraId="24EB75E0">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投标保证金</w:t>
      </w:r>
    </w:p>
    <w:p w14:paraId="7815C58C">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 xml:space="preserve">    本次招标不需投标人缴纳投标保证金。</w:t>
      </w:r>
    </w:p>
    <w:p w14:paraId="76488E62">
      <w:pPr>
        <w:pStyle w:val="4"/>
        <w:numPr>
          <w:ilvl w:val="0"/>
          <w:numId w:val="1"/>
        </w:numPr>
        <w:spacing w:line="360" w:lineRule="auto"/>
        <w:rPr>
          <w:rFonts w:hint="eastAsia" w:ascii="宋体" w:hAnsi="宋体"/>
          <w:sz w:val="24"/>
          <w:szCs w:val="24"/>
        </w:rPr>
      </w:pPr>
      <w:bookmarkStart w:id="15" w:name="_Toc196135358"/>
      <w:r>
        <w:rPr>
          <w:rFonts w:hint="eastAsia" w:ascii="宋体" w:hAnsi="宋体"/>
          <w:sz w:val="24"/>
          <w:szCs w:val="24"/>
        </w:rPr>
        <w:t>招标方式</w:t>
      </w:r>
      <w:bookmarkEnd w:id="15"/>
    </w:p>
    <w:p w14:paraId="588B2FA0">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（1）招标方式为公开招标。递交投标文件的截止时间为</w:t>
      </w:r>
      <w:r>
        <w:rPr>
          <w:rFonts w:asciiTheme="minorEastAsia" w:hAnsiTheme="minorEastAsia" w:eastAsiaTheme="minorEastAsia"/>
          <w:szCs w:val="24"/>
          <w:highlight w:val="yellow"/>
          <w:u w:val="single"/>
        </w:rPr>
        <w:t>202</w:t>
      </w:r>
      <w:r>
        <w:rPr>
          <w:rFonts w:hint="eastAsia" w:asciiTheme="minorEastAsia" w:hAnsiTheme="minorEastAsia" w:eastAsiaTheme="minorEastAsia"/>
          <w:szCs w:val="24"/>
          <w:highlight w:val="yellow"/>
          <w:u w:val="single"/>
        </w:rPr>
        <w:t>5年x月x日</w:t>
      </w:r>
      <w:r>
        <w:rPr>
          <w:rFonts w:asciiTheme="minorEastAsia" w:hAnsiTheme="minorEastAsia" w:eastAsiaTheme="minorEastAsia"/>
          <w:szCs w:val="24"/>
          <w:highlight w:val="yellow"/>
          <w:u w:val="single"/>
        </w:rPr>
        <w:t xml:space="preserve"> 09:30</w:t>
      </w:r>
      <w:r>
        <w:rPr>
          <w:rFonts w:hint="eastAsia" w:asciiTheme="minorEastAsia" w:hAnsiTheme="minorEastAsia" w:eastAsiaTheme="minorEastAsia"/>
          <w:szCs w:val="24"/>
          <w:highlight w:val="yellow"/>
          <w:u w:val="single"/>
        </w:rPr>
        <w:t>时</w:t>
      </w:r>
      <w:r>
        <w:rPr>
          <w:rFonts w:hint="eastAsia" w:asciiTheme="minorEastAsia" w:hAnsiTheme="minorEastAsia" w:eastAsiaTheme="minorEastAsia"/>
          <w:szCs w:val="24"/>
        </w:rPr>
        <w:t>，地点：</w:t>
      </w:r>
      <w:r>
        <w:rPr>
          <w:rFonts w:hint="eastAsia" w:asciiTheme="minorEastAsia" w:hAnsiTheme="minorEastAsia" w:eastAsiaTheme="minorEastAsia"/>
          <w:szCs w:val="24"/>
          <w:u w:val="single"/>
        </w:rPr>
        <w:t>深圳市南山区科苑南路</w:t>
      </w:r>
      <w:r>
        <w:rPr>
          <w:rFonts w:asciiTheme="minorEastAsia" w:hAnsiTheme="minorEastAsia" w:eastAsiaTheme="minorEastAsia"/>
          <w:szCs w:val="24"/>
          <w:u w:val="single"/>
        </w:rPr>
        <w:t>3099</w:t>
      </w:r>
      <w:r>
        <w:rPr>
          <w:rFonts w:hint="eastAsia" w:asciiTheme="minorEastAsia" w:hAnsiTheme="minorEastAsia" w:eastAsiaTheme="minorEastAsia"/>
          <w:szCs w:val="24"/>
          <w:u w:val="single"/>
        </w:rPr>
        <w:t>号中国储能大厦</w:t>
      </w:r>
      <w:r>
        <w:rPr>
          <w:rFonts w:asciiTheme="minorEastAsia" w:hAnsiTheme="minorEastAsia" w:eastAsiaTheme="minorEastAsia"/>
          <w:szCs w:val="24"/>
          <w:u w:val="single"/>
        </w:rPr>
        <w:t>50</w:t>
      </w:r>
      <w:r>
        <w:rPr>
          <w:rFonts w:hint="eastAsia" w:asciiTheme="minorEastAsia" w:hAnsiTheme="minorEastAsia" w:eastAsiaTheme="minorEastAsia"/>
          <w:szCs w:val="24"/>
          <w:u w:val="single"/>
        </w:rPr>
        <w:t>楼</w:t>
      </w:r>
      <w:r>
        <w:rPr>
          <w:rFonts w:hint="eastAsia" w:asciiTheme="minorEastAsia" w:hAnsiTheme="minorEastAsia" w:eastAsiaTheme="minorEastAsia"/>
          <w:szCs w:val="24"/>
        </w:rPr>
        <w:t>。</w:t>
      </w:r>
    </w:p>
    <w:p w14:paraId="6EAEE7DC">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（2）投标人根据本招标文件的要求编写投标文件，并进行报价，招标人以议标方式评标，评标期间招标人与投标人可进行开标竞价约谈。</w:t>
      </w:r>
    </w:p>
    <w:p w14:paraId="4701E1DA">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3）投标文件正本一份和副本二份，电子文档一份，在每份投标文件上要明确注明“正本”或“副本”字样，一旦正本和副本有差异，以正本为准。投标文件正本和副本须打印并由经正式授权的投标人代表签字。除投标人对错处作必要修改外，投标文件中不许有加行、涂抹或改写，若有修改须由签署投标文件的人签字。电子文档投标文件拷贝至</w:t>
      </w:r>
      <w:r>
        <w:rPr>
          <w:rFonts w:asciiTheme="minorEastAsia" w:hAnsiTheme="minorEastAsia" w:eastAsiaTheme="minorEastAsia"/>
          <w:szCs w:val="24"/>
        </w:rPr>
        <w:t>U</w:t>
      </w:r>
      <w:r>
        <w:rPr>
          <w:rFonts w:hint="eastAsia" w:asciiTheme="minorEastAsia" w:hAnsiTheme="minorEastAsia" w:eastAsiaTheme="minorEastAsia"/>
          <w:szCs w:val="24"/>
        </w:rPr>
        <w:t>盘且密封在投标文件正本信封内。</w:t>
      </w:r>
    </w:p>
    <w:p w14:paraId="2E4236A6">
      <w:pPr>
        <w:spacing w:line="360" w:lineRule="auto"/>
        <w:ind w:firstLine="480" w:firstLineChars="200"/>
        <w:rPr>
          <w:rFonts w:hint="eastAsia" w:asciiTheme="minorEastAsia" w:hAnsiTheme="minorEastAsia" w:eastAsiaTheme="minorEastAsia"/>
          <w:bCs/>
          <w:szCs w:val="24"/>
        </w:rPr>
      </w:pPr>
      <w:r>
        <w:rPr>
          <w:rFonts w:hint="eastAsia" w:asciiTheme="minorEastAsia" w:hAnsiTheme="minorEastAsia" w:eastAsiaTheme="minorEastAsia"/>
          <w:szCs w:val="24"/>
        </w:rPr>
        <w:t>（4）</w:t>
      </w:r>
      <w:r>
        <w:rPr>
          <w:rFonts w:hint="eastAsia" w:asciiTheme="minorEastAsia" w:hAnsiTheme="minorEastAsia" w:eastAsiaTheme="minorEastAsia"/>
          <w:bCs/>
          <w:szCs w:val="24"/>
        </w:rPr>
        <w:t>投标文件需按投标文件组成的要求分为商务投标文件、技术投标文件、投标报价文件和电子版投标文件（</w:t>
      </w:r>
      <w:r>
        <w:rPr>
          <w:rFonts w:asciiTheme="minorEastAsia" w:hAnsiTheme="minorEastAsia" w:eastAsiaTheme="minorEastAsia"/>
          <w:bCs/>
          <w:szCs w:val="24"/>
        </w:rPr>
        <w:t>U</w:t>
      </w:r>
      <w:r>
        <w:rPr>
          <w:rFonts w:hint="eastAsia" w:asciiTheme="minorEastAsia" w:hAnsiTheme="minorEastAsia" w:eastAsiaTheme="minorEastAsia"/>
          <w:bCs/>
          <w:szCs w:val="24"/>
        </w:rPr>
        <w:t>盘），其中商务投标文件、技术投标文件、投标报价文件要求分别胶装装订，电子版投标文件（</w:t>
      </w:r>
      <w:r>
        <w:rPr>
          <w:rFonts w:asciiTheme="minorEastAsia" w:hAnsiTheme="minorEastAsia" w:eastAsiaTheme="minorEastAsia"/>
          <w:bCs/>
          <w:szCs w:val="24"/>
        </w:rPr>
        <w:t>U</w:t>
      </w:r>
      <w:r>
        <w:rPr>
          <w:rFonts w:hint="eastAsia" w:asciiTheme="minorEastAsia" w:hAnsiTheme="minorEastAsia" w:eastAsiaTheme="minorEastAsia"/>
          <w:bCs/>
          <w:szCs w:val="24"/>
        </w:rPr>
        <w:t>盘）包含商务投标文件、技术投标文件和投标报价文件、讲标</w:t>
      </w:r>
      <w:r>
        <w:rPr>
          <w:rFonts w:asciiTheme="minorEastAsia" w:hAnsiTheme="minorEastAsia" w:eastAsiaTheme="minorEastAsia"/>
          <w:bCs/>
          <w:szCs w:val="24"/>
        </w:rPr>
        <w:t>PPT</w:t>
      </w:r>
      <w:r>
        <w:rPr>
          <w:rFonts w:hint="eastAsia" w:asciiTheme="minorEastAsia" w:hAnsiTheme="minorEastAsia" w:eastAsiaTheme="minorEastAsia"/>
          <w:bCs/>
          <w:szCs w:val="24"/>
        </w:rPr>
        <w:t>。商务投标文件和技术投标文件不得包含价格。投标文件要求将投标报价文件与商务投标文件、技术投标文件分开密封，否则取消资格。商务投标文件、技术投标文件中出现投标报价文件信息的投标人主动失去投标资格。</w:t>
      </w:r>
    </w:p>
    <w:p w14:paraId="3D373899">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（5）投标人应将投标文件正本和副本分别用信封密封，并标明招标编号、投标货物名称及正本或副本。</w:t>
      </w:r>
    </w:p>
    <w:p w14:paraId="0A832B90">
      <w:pPr>
        <w:pStyle w:val="4"/>
        <w:numPr>
          <w:ilvl w:val="0"/>
          <w:numId w:val="1"/>
        </w:numPr>
        <w:spacing w:line="360" w:lineRule="auto"/>
        <w:rPr>
          <w:rFonts w:hint="eastAsia" w:ascii="宋体" w:hAnsi="宋体"/>
          <w:sz w:val="24"/>
          <w:szCs w:val="24"/>
        </w:rPr>
      </w:pPr>
      <w:bookmarkStart w:id="16" w:name="_Toc196135359"/>
      <w:r>
        <w:rPr>
          <w:rFonts w:hint="eastAsia" w:ascii="宋体" w:hAnsi="宋体"/>
          <w:sz w:val="24"/>
          <w:szCs w:val="24"/>
        </w:rPr>
        <w:t>投标报价</w:t>
      </w:r>
      <w:bookmarkEnd w:id="16"/>
    </w:p>
    <w:p w14:paraId="652AEEF4">
      <w:pPr>
        <w:spacing w:line="360" w:lineRule="auto"/>
        <w:ind w:firstLine="480"/>
        <w:rPr>
          <w:rFonts w:hint="eastAsia" w:cs="宋体" w:asciiTheme="minorEastAsia" w:hAnsiTheme="minorEastAsia" w:eastAsiaTheme="minorEastAsia"/>
          <w:kern w:val="0"/>
          <w:szCs w:val="24"/>
        </w:rPr>
      </w:pPr>
      <w:r>
        <w:rPr>
          <w:rFonts w:hint="eastAsia" w:cs="宋体" w:asciiTheme="minorEastAsia" w:hAnsiTheme="minorEastAsia" w:eastAsiaTheme="minorEastAsia"/>
          <w:kern w:val="0"/>
          <w:szCs w:val="24"/>
        </w:rPr>
        <w:t>（1）</w:t>
      </w:r>
      <w:r>
        <w:rPr>
          <w:rFonts w:cs="宋体" w:asciiTheme="minorEastAsia" w:hAnsiTheme="minorEastAsia" w:eastAsiaTheme="minorEastAsia"/>
          <w:kern w:val="0"/>
          <w:szCs w:val="24"/>
        </w:rPr>
        <w:t>投标</w:t>
      </w:r>
      <w:r>
        <w:rPr>
          <w:rFonts w:hint="eastAsia" w:cs="宋体" w:asciiTheme="minorEastAsia" w:hAnsiTheme="minorEastAsia" w:eastAsiaTheme="minorEastAsia"/>
          <w:kern w:val="0"/>
          <w:szCs w:val="24"/>
        </w:rPr>
        <w:t>人</w:t>
      </w:r>
      <w:r>
        <w:rPr>
          <w:rFonts w:cs="宋体" w:asciiTheme="minorEastAsia" w:hAnsiTheme="minorEastAsia" w:eastAsiaTheme="minorEastAsia"/>
          <w:kern w:val="0"/>
          <w:szCs w:val="24"/>
        </w:rPr>
        <w:t>应提供详细</w:t>
      </w:r>
      <w:r>
        <w:rPr>
          <w:rFonts w:hint="eastAsia" w:cs="宋体" w:asciiTheme="minorEastAsia" w:hAnsiTheme="minorEastAsia" w:eastAsiaTheme="minorEastAsia"/>
          <w:kern w:val="0"/>
          <w:szCs w:val="24"/>
        </w:rPr>
        <w:t>的产品</w:t>
      </w:r>
      <w:r>
        <w:rPr>
          <w:rFonts w:cs="宋体" w:asciiTheme="minorEastAsia" w:hAnsiTheme="minorEastAsia" w:eastAsiaTheme="minorEastAsia"/>
          <w:kern w:val="0"/>
          <w:szCs w:val="24"/>
        </w:rPr>
        <w:t>清单、数量、单价、总价等</w:t>
      </w:r>
      <w:r>
        <w:rPr>
          <w:rFonts w:hint="eastAsia" w:cs="宋体" w:asciiTheme="minorEastAsia" w:hAnsiTheme="minorEastAsia" w:eastAsiaTheme="minorEastAsia"/>
          <w:kern w:val="0"/>
          <w:szCs w:val="24"/>
        </w:rPr>
        <w:t>。（按照附件格式）。</w:t>
      </w:r>
    </w:p>
    <w:p w14:paraId="3B1DF6F5">
      <w:pPr>
        <w:spacing w:line="360" w:lineRule="auto"/>
        <w:ind w:firstLine="480"/>
        <w:rPr>
          <w:rFonts w:hint="eastAsia" w:cs="宋体" w:asciiTheme="minorEastAsia" w:hAnsiTheme="minorEastAsia" w:eastAsiaTheme="minorEastAsia"/>
          <w:kern w:val="0"/>
          <w:szCs w:val="24"/>
        </w:rPr>
      </w:pPr>
      <w:r>
        <w:rPr>
          <w:rFonts w:hint="eastAsia" w:cs="宋体" w:asciiTheme="minorEastAsia" w:hAnsiTheme="minorEastAsia" w:eastAsiaTheme="minorEastAsia"/>
          <w:kern w:val="0"/>
          <w:szCs w:val="24"/>
        </w:rPr>
        <w:t>（2）</w:t>
      </w:r>
      <w:r>
        <w:rPr>
          <w:rFonts w:cs="宋体" w:asciiTheme="minorEastAsia" w:hAnsiTheme="minorEastAsia" w:eastAsiaTheme="minorEastAsia"/>
          <w:kern w:val="0"/>
          <w:szCs w:val="24"/>
        </w:rPr>
        <w:t>报价为一次性报价。（不再进行二次报价）</w:t>
      </w:r>
    </w:p>
    <w:p w14:paraId="0797F990">
      <w:pPr>
        <w:spacing w:line="360" w:lineRule="auto"/>
        <w:ind w:firstLine="480"/>
        <w:rPr>
          <w:rFonts w:hint="eastAsia" w:cs="宋体" w:asciiTheme="minorEastAsia" w:hAnsiTheme="minorEastAsia" w:eastAsiaTheme="minorEastAsia"/>
          <w:kern w:val="0"/>
          <w:szCs w:val="24"/>
        </w:rPr>
      </w:pPr>
      <w:r>
        <w:rPr>
          <w:rFonts w:hint="eastAsia" w:cs="宋体" w:asciiTheme="minorEastAsia" w:hAnsiTheme="minorEastAsia" w:eastAsiaTheme="minorEastAsia"/>
          <w:kern w:val="0"/>
          <w:szCs w:val="24"/>
        </w:rPr>
        <w:t>（3）</w:t>
      </w:r>
      <w:r>
        <w:rPr>
          <w:rFonts w:cs="宋体" w:asciiTheme="minorEastAsia" w:hAnsiTheme="minorEastAsia" w:eastAsiaTheme="minorEastAsia"/>
          <w:kern w:val="0"/>
          <w:szCs w:val="24"/>
        </w:rPr>
        <w:t>报价页需由法人代表或授权代表签字、加盖公章。</w:t>
      </w:r>
    </w:p>
    <w:p w14:paraId="6C4DB3A5">
      <w:pPr>
        <w:spacing w:line="360" w:lineRule="auto"/>
        <w:ind w:firstLine="480"/>
        <w:rPr>
          <w:rFonts w:hint="eastAsia" w:cs="宋体" w:asciiTheme="minorEastAsia" w:hAnsiTheme="minorEastAsia" w:eastAsiaTheme="minorEastAsia"/>
          <w:kern w:val="0"/>
          <w:szCs w:val="24"/>
        </w:rPr>
      </w:pPr>
      <w:r>
        <w:rPr>
          <w:rFonts w:hint="eastAsia" w:cs="宋体" w:asciiTheme="minorEastAsia" w:hAnsiTheme="minorEastAsia" w:eastAsiaTheme="minorEastAsia"/>
          <w:kern w:val="0"/>
          <w:szCs w:val="24"/>
        </w:rPr>
        <w:t>（4）报价方式为总价包干制，招标人不再为该项目支付其他任何费用。</w:t>
      </w:r>
    </w:p>
    <w:p w14:paraId="7BF1B2D4">
      <w:pPr>
        <w:pStyle w:val="4"/>
        <w:numPr>
          <w:ilvl w:val="0"/>
          <w:numId w:val="1"/>
        </w:numPr>
        <w:spacing w:line="360" w:lineRule="auto"/>
        <w:rPr>
          <w:rFonts w:hint="eastAsia" w:ascii="宋体" w:hAnsi="宋体"/>
          <w:sz w:val="24"/>
          <w:szCs w:val="24"/>
        </w:rPr>
      </w:pPr>
      <w:bookmarkStart w:id="17" w:name="_Toc196135360"/>
      <w:r>
        <w:rPr>
          <w:rFonts w:hint="eastAsia" w:ascii="宋体" w:hAnsi="宋体"/>
          <w:sz w:val="24"/>
          <w:szCs w:val="24"/>
        </w:rPr>
        <w:t>投标须知</w:t>
      </w:r>
      <w:bookmarkEnd w:id="17"/>
    </w:p>
    <w:p w14:paraId="026672D2">
      <w:pPr>
        <w:pStyle w:val="5"/>
        <w:rPr>
          <w:rFonts w:hint="eastAsia"/>
          <w:color w:val="000000"/>
          <w:sz w:val="24"/>
          <w:szCs w:val="24"/>
        </w:rPr>
      </w:pPr>
      <w:r>
        <w:rPr>
          <w:rFonts w:hint="eastAsia"/>
          <w:color w:val="000000"/>
          <w:sz w:val="24"/>
          <w:szCs w:val="24"/>
        </w:rPr>
        <w:t>7.1</w:t>
      </w:r>
      <w:r>
        <w:rPr>
          <w:color w:val="000000"/>
          <w:sz w:val="24"/>
          <w:szCs w:val="24"/>
        </w:rPr>
        <w:t>.</w:t>
      </w:r>
      <w:r>
        <w:rPr>
          <w:rFonts w:hint="eastAsia"/>
          <w:color w:val="000000"/>
          <w:sz w:val="24"/>
          <w:szCs w:val="24"/>
        </w:rPr>
        <w:t>投标须知</w:t>
      </w:r>
    </w:p>
    <w:p w14:paraId="2F4F82E2">
      <w:pPr>
        <w:spacing w:line="360" w:lineRule="auto"/>
        <w:ind w:firstLine="480" w:firstLineChars="200"/>
        <w:rPr>
          <w:rFonts w:hint="eastAsia" w:asciiTheme="minorEastAsia" w:hAnsiTheme="minorEastAsia" w:eastAsiaTheme="minorEastAsia"/>
          <w:szCs w:val="24"/>
        </w:rPr>
      </w:pPr>
      <w:bookmarkStart w:id="18" w:name="_Toc518077761"/>
      <w:r>
        <w:rPr>
          <w:rFonts w:hint="eastAsia" w:asciiTheme="minorEastAsia" w:hAnsiTheme="minorEastAsia" w:eastAsiaTheme="minorEastAsia"/>
          <w:szCs w:val="24"/>
        </w:rPr>
        <w:t>（1）投标人应仔细阅读招标文件的所有内容，对于标书中的要求必须全部实现。投标人不得以他人名义投标或者以其他方式弄虚作假，骗取中标。</w:t>
      </w:r>
    </w:p>
    <w:p w14:paraId="185CF278">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（2）投标人必须保证投标产品完全满足技术参数和功能要求，如出现货不符实的情况，招标人有权要求投标人将设备替换为可以满足技术参数和功能要求的设备，由此造成的损失由投标人承担。</w:t>
      </w:r>
    </w:p>
    <w:p w14:paraId="40CEB252">
      <w:pPr>
        <w:spacing w:line="360" w:lineRule="auto"/>
        <w:ind w:firstLine="480" w:firstLineChars="200"/>
        <w:rPr>
          <w:rFonts w:hint="eastAsia" w:asciiTheme="minorEastAsia" w:hAnsiTheme="minorEastAsia" w:eastAsiaTheme="minorEastAsia"/>
          <w:szCs w:val="24"/>
        </w:rPr>
      </w:pPr>
      <w:bookmarkStart w:id="19" w:name="OLE_LINK12"/>
      <w:r>
        <w:rPr>
          <w:rFonts w:hint="eastAsia" w:asciiTheme="minorEastAsia" w:hAnsiTheme="minorEastAsia" w:eastAsiaTheme="minorEastAsia"/>
          <w:szCs w:val="24"/>
        </w:rPr>
        <w:t>（3）投标人应承担参加本次投标的全部费用，不论投标的结果如何，招标人在任何情况下均不承担费用。</w:t>
      </w:r>
    </w:p>
    <w:p w14:paraId="549BCDA1">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（4）招标人对投标人提交的投标文件，在投标开始后均不退还。</w:t>
      </w:r>
    </w:p>
    <w:bookmarkEnd w:id="19"/>
    <w:p w14:paraId="782C6B28">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（5）招标人本次项目联系人</w:t>
      </w:r>
    </w:p>
    <w:p w14:paraId="5B17DD48">
      <w:pPr>
        <w:tabs>
          <w:tab w:val="left" w:pos="900"/>
        </w:tabs>
        <w:spacing w:line="360" w:lineRule="auto"/>
        <w:ind w:firstLine="570"/>
        <w:rPr>
          <w:rFonts w:hint="eastAsia" w:cs="宋体" w:asciiTheme="minorEastAsia" w:hAnsiTheme="minorEastAsia" w:eastAsiaTheme="minorEastAsia"/>
          <w:szCs w:val="24"/>
        </w:rPr>
      </w:pPr>
      <w:r>
        <w:rPr>
          <w:rFonts w:hint="eastAsia" w:cs="宋体" w:asciiTheme="minorEastAsia" w:hAnsiTheme="minorEastAsia" w:eastAsiaTheme="minorEastAsia"/>
          <w:szCs w:val="24"/>
        </w:rPr>
        <w:t>联系人：吴家玮</w:t>
      </w:r>
    </w:p>
    <w:p w14:paraId="3D9107D2">
      <w:pPr>
        <w:tabs>
          <w:tab w:val="left" w:pos="900"/>
        </w:tabs>
        <w:spacing w:line="360" w:lineRule="auto"/>
        <w:ind w:firstLine="570"/>
        <w:rPr>
          <w:rFonts w:hint="eastAsia" w:asciiTheme="minorEastAsia" w:hAnsiTheme="minorEastAsia" w:eastAsiaTheme="minorEastAsia"/>
          <w:szCs w:val="24"/>
        </w:rPr>
      </w:pPr>
      <w:r>
        <w:rPr>
          <w:rFonts w:hint="eastAsia" w:asciiTheme="minorEastAsia" w:hAnsiTheme="minorEastAsia" w:eastAsiaTheme="minorEastAsia"/>
          <w:szCs w:val="24"/>
        </w:rPr>
        <w:t>电话：</w:t>
      </w:r>
      <w:r>
        <w:rPr>
          <w:rFonts w:asciiTheme="minorEastAsia" w:hAnsiTheme="minorEastAsia" w:eastAsiaTheme="minorEastAsia"/>
          <w:szCs w:val="24"/>
        </w:rPr>
        <w:t>18655994203</w:t>
      </w:r>
      <w:r>
        <w:rPr>
          <w:rFonts w:hint="eastAsia" w:asciiTheme="minorEastAsia" w:hAnsiTheme="minorEastAsia" w:eastAsiaTheme="minorEastAsia"/>
          <w:szCs w:val="24"/>
        </w:rPr>
        <w:t>，邮箱：</w:t>
      </w:r>
      <w:r>
        <w:rPr>
          <w:rFonts w:asciiTheme="minorEastAsia" w:hAnsiTheme="minorEastAsia" w:eastAsiaTheme="minorEastAsia"/>
          <w:szCs w:val="24"/>
        </w:rPr>
        <w:t>itzhaobiao@ztfsec.com</w:t>
      </w:r>
    </w:p>
    <w:p w14:paraId="7FE5D602">
      <w:pPr>
        <w:pStyle w:val="5"/>
        <w:rPr>
          <w:rFonts w:hint="eastAsia"/>
          <w:color w:val="000000"/>
          <w:sz w:val="24"/>
          <w:szCs w:val="24"/>
        </w:rPr>
      </w:pPr>
      <w:r>
        <w:rPr>
          <w:color w:val="000000"/>
          <w:sz w:val="24"/>
          <w:szCs w:val="24"/>
        </w:rPr>
        <w:t>7.</w:t>
      </w:r>
      <w:r>
        <w:rPr>
          <w:rFonts w:hint="eastAsia"/>
          <w:color w:val="000000"/>
          <w:sz w:val="24"/>
          <w:szCs w:val="24"/>
        </w:rPr>
        <w:t>2</w:t>
      </w:r>
      <w:r>
        <w:rPr>
          <w:color w:val="000000"/>
          <w:sz w:val="24"/>
          <w:szCs w:val="24"/>
        </w:rPr>
        <w:t>.</w:t>
      </w:r>
      <w:r>
        <w:rPr>
          <w:rFonts w:hint="eastAsia"/>
          <w:color w:val="000000"/>
          <w:sz w:val="24"/>
          <w:szCs w:val="24"/>
        </w:rPr>
        <w:t>付款条件</w:t>
      </w:r>
    </w:p>
    <w:bookmarkEnd w:id="18"/>
    <w:p w14:paraId="2F4FF8F3">
      <w:pPr>
        <w:spacing w:line="360" w:lineRule="auto"/>
        <w:ind w:firstLine="480" w:firstLineChars="200"/>
        <w:rPr>
          <w:rFonts w:hint="eastAsia" w:asciiTheme="minorEastAsia" w:hAnsiTheme="minorEastAsia" w:eastAsiaTheme="minorEastAsia"/>
          <w:bCs/>
          <w:szCs w:val="24"/>
        </w:rPr>
      </w:pPr>
      <w:r>
        <w:rPr>
          <w:rFonts w:hint="eastAsia" w:asciiTheme="minorEastAsia" w:hAnsiTheme="minorEastAsia" w:eastAsiaTheme="minorEastAsia"/>
          <w:bCs/>
          <w:szCs w:val="24"/>
        </w:rPr>
        <w:t>项目付款分</w:t>
      </w:r>
      <w:r>
        <w:rPr>
          <w:rFonts w:asciiTheme="minorEastAsia" w:hAnsiTheme="minorEastAsia" w:eastAsiaTheme="minorEastAsia"/>
          <w:bCs/>
          <w:szCs w:val="24"/>
        </w:rPr>
        <w:t>4</w:t>
      </w:r>
      <w:r>
        <w:rPr>
          <w:rFonts w:hint="eastAsia" w:asciiTheme="minorEastAsia" w:hAnsiTheme="minorEastAsia" w:eastAsiaTheme="minorEastAsia"/>
          <w:bCs/>
          <w:szCs w:val="24"/>
        </w:rPr>
        <w:t>次，付款条件如下：</w:t>
      </w:r>
    </w:p>
    <w:p w14:paraId="2A0E3D3F">
      <w:pPr>
        <w:spacing w:line="360" w:lineRule="auto"/>
        <w:ind w:firstLine="480" w:firstLineChars="200"/>
        <w:rPr>
          <w:rFonts w:hint="eastAsia" w:asciiTheme="minorEastAsia" w:hAnsiTheme="minorEastAsia" w:eastAsiaTheme="minorEastAsia"/>
          <w:bCs/>
          <w:szCs w:val="24"/>
        </w:rPr>
      </w:pPr>
      <w:r>
        <w:rPr>
          <w:rFonts w:hint="eastAsia" w:asciiTheme="minorEastAsia" w:hAnsiTheme="minorEastAsia" w:eastAsiaTheme="minorEastAsia"/>
          <w:bCs/>
          <w:szCs w:val="24"/>
        </w:rPr>
        <w:t>第</w:t>
      </w:r>
      <w:r>
        <w:rPr>
          <w:rFonts w:asciiTheme="minorEastAsia" w:hAnsiTheme="minorEastAsia" w:eastAsiaTheme="minorEastAsia"/>
          <w:bCs/>
          <w:szCs w:val="24"/>
        </w:rPr>
        <w:t>1次付款时间/条件：</w:t>
      </w:r>
      <w:r>
        <w:rPr>
          <w:rFonts w:hint="eastAsia" w:asciiTheme="minorEastAsia" w:hAnsiTheme="minorEastAsia" w:eastAsiaTheme="minorEastAsia"/>
          <w:bCs/>
          <w:szCs w:val="24"/>
        </w:rPr>
        <w:t>合同签订生效后，收到中标人所开具增值税发票的</w:t>
      </w:r>
      <w:r>
        <w:rPr>
          <w:rFonts w:asciiTheme="minorEastAsia" w:hAnsiTheme="minorEastAsia" w:eastAsiaTheme="minorEastAsia"/>
          <w:bCs/>
          <w:szCs w:val="24"/>
        </w:rPr>
        <w:t>30</w:t>
      </w:r>
      <w:r>
        <w:rPr>
          <w:rFonts w:hint="eastAsia" w:asciiTheme="minorEastAsia" w:hAnsiTheme="minorEastAsia" w:eastAsiaTheme="minorEastAsia"/>
          <w:bCs/>
          <w:szCs w:val="24"/>
        </w:rPr>
        <w:t>个工作日内，按中标金额</w:t>
      </w:r>
      <w:r>
        <w:rPr>
          <w:rFonts w:asciiTheme="minorEastAsia" w:hAnsiTheme="minorEastAsia" w:eastAsiaTheme="minorEastAsia"/>
          <w:bCs/>
          <w:szCs w:val="24"/>
        </w:rPr>
        <w:t>3</w:t>
      </w:r>
      <w:r>
        <w:rPr>
          <w:rFonts w:hint="eastAsia" w:asciiTheme="minorEastAsia" w:hAnsiTheme="minorEastAsia" w:eastAsiaTheme="minorEastAsia"/>
          <w:bCs/>
          <w:szCs w:val="24"/>
        </w:rPr>
        <w:t>0</w:t>
      </w:r>
      <w:r>
        <w:rPr>
          <w:rFonts w:asciiTheme="minorEastAsia" w:hAnsiTheme="minorEastAsia" w:eastAsiaTheme="minorEastAsia"/>
          <w:bCs/>
          <w:szCs w:val="24"/>
        </w:rPr>
        <w:t>％</w:t>
      </w:r>
      <w:r>
        <w:rPr>
          <w:rFonts w:hint="eastAsia" w:asciiTheme="minorEastAsia" w:hAnsiTheme="minorEastAsia" w:eastAsiaTheme="minorEastAsia"/>
          <w:bCs/>
          <w:szCs w:val="24"/>
        </w:rPr>
        <w:t>付款</w:t>
      </w:r>
      <w:r>
        <w:rPr>
          <w:rFonts w:asciiTheme="minorEastAsia" w:hAnsiTheme="minorEastAsia" w:eastAsiaTheme="minorEastAsia"/>
          <w:bCs/>
          <w:szCs w:val="24"/>
        </w:rPr>
        <w:t>；</w:t>
      </w:r>
    </w:p>
    <w:p w14:paraId="7F5071D9">
      <w:pPr>
        <w:spacing w:line="360" w:lineRule="auto"/>
        <w:ind w:firstLine="480" w:firstLineChars="200"/>
        <w:rPr>
          <w:rFonts w:hint="eastAsia" w:asciiTheme="minorEastAsia" w:hAnsiTheme="minorEastAsia" w:eastAsiaTheme="minorEastAsia"/>
          <w:bCs/>
          <w:szCs w:val="24"/>
        </w:rPr>
      </w:pPr>
      <w:r>
        <w:rPr>
          <w:rFonts w:hint="eastAsia" w:asciiTheme="minorEastAsia" w:hAnsiTheme="minorEastAsia" w:eastAsiaTheme="minorEastAsia"/>
          <w:bCs/>
          <w:szCs w:val="24"/>
        </w:rPr>
        <w:t>第2</w:t>
      </w:r>
      <w:r>
        <w:rPr>
          <w:rFonts w:asciiTheme="minorEastAsia" w:hAnsiTheme="minorEastAsia" w:eastAsiaTheme="minorEastAsia"/>
          <w:bCs/>
          <w:szCs w:val="24"/>
        </w:rPr>
        <w:t>次付款时间/条件：</w:t>
      </w:r>
      <w:r>
        <w:rPr>
          <w:rFonts w:hint="eastAsia" w:asciiTheme="minorEastAsia" w:hAnsiTheme="minorEastAsia" w:eastAsiaTheme="minorEastAsia"/>
          <w:bCs/>
          <w:szCs w:val="24"/>
        </w:rPr>
        <w:t>合同清单全部到货，中标人提供招标人项目经理签字的到货清单及中标人所开具增值税发票的</w:t>
      </w:r>
      <w:r>
        <w:rPr>
          <w:rFonts w:asciiTheme="minorEastAsia" w:hAnsiTheme="minorEastAsia" w:eastAsiaTheme="minorEastAsia"/>
          <w:bCs/>
          <w:szCs w:val="24"/>
        </w:rPr>
        <w:t>30</w:t>
      </w:r>
      <w:r>
        <w:rPr>
          <w:rFonts w:hint="eastAsia" w:asciiTheme="minorEastAsia" w:hAnsiTheme="minorEastAsia" w:eastAsiaTheme="minorEastAsia"/>
          <w:bCs/>
          <w:szCs w:val="24"/>
        </w:rPr>
        <w:t>个工作日内，按中标金额</w:t>
      </w:r>
      <w:r>
        <w:rPr>
          <w:rFonts w:asciiTheme="minorEastAsia" w:hAnsiTheme="minorEastAsia" w:eastAsiaTheme="minorEastAsia"/>
          <w:bCs/>
          <w:szCs w:val="24"/>
        </w:rPr>
        <w:t>3</w:t>
      </w:r>
      <w:r>
        <w:rPr>
          <w:rFonts w:hint="eastAsia" w:asciiTheme="minorEastAsia" w:hAnsiTheme="minorEastAsia" w:eastAsiaTheme="minorEastAsia"/>
          <w:bCs/>
          <w:szCs w:val="24"/>
        </w:rPr>
        <w:t>0</w:t>
      </w:r>
      <w:r>
        <w:rPr>
          <w:rFonts w:asciiTheme="minorEastAsia" w:hAnsiTheme="minorEastAsia" w:eastAsiaTheme="minorEastAsia"/>
          <w:bCs/>
          <w:szCs w:val="24"/>
        </w:rPr>
        <w:t>％</w:t>
      </w:r>
      <w:r>
        <w:rPr>
          <w:rFonts w:hint="eastAsia" w:asciiTheme="minorEastAsia" w:hAnsiTheme="minorEastAsia" w:eastAsiaTheme="minorEastAsia"/>
          <w:bCs/>
          <w:szCs w:val="24"/>
        </w:rPr>
        <w:t>付款</w:t>
      </w:r>
      <w:r>
        <w:rPr>
          <w:rFonts w:asciiTheme="minorEastAsia" w:hAnsiTheme="minorEastAsia" w:eastAsiaTheme="minorEastAsia"/>
          <w:bCs/>
          <w:szCs w:val="24"/>
        </w:rPr>
        <w:t>；</w:t>
      </w:r>
    </w:p>
    <w:p w14:paraId="4C2C9B7A">
      <w:pPr>
        <w:spacing w:line="360" w:lineRule="auto"/>
        <w:ind w:firstLine="480" w:firstLineChars="200"/>
        <w:rPr>
          <w:rFonts w:hint="eastAsia" w:asciiTheme="minorEastAsia" w:hAnsiTheme="minorEastAsia" w:eastAsiaTheme="minorEastAsia"/>
          <w:bCs/>
          <w:szCs w:val="24"/>
        </w:rPr>
      </w:pPr>
      <w:r>
        <w:rPr>
          <w:rFonts w:hint="eastAsia" w:asciiTheme="minorEastAsia" w:hAnsiTheme="minorEastAsia" w:eastAsiaTheme="minorEastAsia"/>
          <w:bCs/>
          <w:szCs w:val="24"/>
        </w:rPr>
        <w:t>第</w:t>
      </w:r>
      <w:r>
        <w:rPr>
          <w:rFonts w:asciiTheme="minorEastAsia" w:hAnsiTheme="minorEastAsia" w:eastAsiaTheme="minorEastAsia"/>
          <w:bCs/>
          <w:szCs w:val="24"/>
        </w:rPr>
        <w:t>3次付款时间/条件：</w:t>
      </w:r>
      <w:r>
        <w:rPr>
          <w:rFonts w:hint="eastAsia" w:asciiTheme="minorEastAsia" w:hAnsiTheme="minorEastAsia" w:eastAsiaTheme="minorEastAsia"/>
          <w:bCs/>
          <w:szCs w:val="24"/>
        </w:rPr>
        <w:t>所有产品安装调试完成，安装验收报告签署完成，且中标人所开具增值税发票的</w:t>
      </w:r>
      <w:r>
        <w:rPr>
          <w:rFonts w:asciiTheme="minorEastAsia" w:hAnsiTheme="minorEastAsia" w:eastAsiaTheme="minorEastAsia"/>
          <w:bCs/>
          <w:szCs w:val="24"/>
        </w:rPr>
        <w:t>30</w:t>
      </w:r>
      <w:r>
        <w:rPr>
          <w:rFonts w:hint="eastAsia" w:asciiTheme="minorEastAsia" w:hAnsiTheme="minorEastAsia" w:eastAsiaTheme="minorEastAsia"/>
          <w:bCs/>
          <w:szCs w:val="24"/>
        </w:rPr>
        <w:t>个工作日内，按中标金额</w:t>
      </w:r>
      <w:r>
        <w:rPr>
          <w:rFonts w:asciiTheme="minorEastAsia" w:hAnsiTheme="minorEastAsia" w:eastAsiaTheme="minorEastAsia"/>
          <w:bCs/>
          <w:szCs w:val="24"/>
        </w:rPr>
        <w:t>3</w:t>
      </w:r>
      <w:r>
        <w:rPr>
          <w:rFonts w:hint="eastAsia" w:asciiTheme="minorEastAsia" w:hAnsiTheme="minorEastAsia" w:eastAsiaTheme="minorEastAsia"/>
          <w:bCs/>
          <w:szCs w:val="24"/>
        </w:rPr>
        <w:t>0</w:t>
      </w:r>
      <w:r>
        <w:rPr>
          <w:rFonts w:asciiTheme="minorEastAsia" w:hAnsiTheme="minorEastAsia" w:eastAsiaTheme="minorEastAsia"/>
          <w:bCs/>
          <w:szCs w:val="24"/>
        </w:rPr>
        <w:t>％</w:t>
      </w:r>
      <w:r>
        <w:rPr>
          <w:rFonts w:hint="eastAsia" w:asciiTheme="minorEastAsia" w:hAnsiTheme="minorEastAsia" w:eastAsiaTheme="minorEastAsia"/>
          <w:bCs/>
          <w:szCs w:val="24"/>
        </w:rPr>
        <w:t>付款</w:t>
      </w:r>
      <w:r>
        <w:rPr>
          <w:rFonts w:asciiTheme="minorEastAsia" w:hAnsiTheme="minorEastAsia" w:eastAsiaTheme="minorEastAsia"/>
          <w:bCs/>
          <w:szCs w:val="24"/>
        </w:rPr>
        <w:t>；</w:t>
      </w:r>
    </w:p>
    <w:p w14:paraId="665564B8">
      <w:pPr>
        <w:spacing w:line="360" w:lineRule="auto"/>
        <w:ind w:firstLine="480" w:firstLineChars="200"/>
        <w:rPr>
          <w:rFonts w:hint="eastAsia" w:asciiTheme="minorEastAsia" w:hAnsiTheme="minorEastAsia" w:eastAsiaTheme="minorEastAsia"/>
          <w:bCs/>
          <w:szCs w:val="24"/>
        </w:rPr>
      </w:pPr>
      <w:r>
        <w:rPr>
          <w:rFonts w:hint="eastAsia" w:asciiTheme="minorEastAsia" w:hAnsiTheme="minorEastAsia" w:eastAsiaTheme="minorEastAsia"/>
          <w:bCs/>
          <w:szCs w:val="24"/>
        </w:rPr>
        <w:t>第</w:t>
      </w:r>
      <w:r>
        <w:rPr>
          <w:rFonts w:asciiTheme="minorEastAsia" w:hAnsiTheme="minorEastAsia" w:eastAsiaTheme="minorEastAsia"/>
          <w:bCs/>
          <w:szCs w:val="24"/>
        </w:rPr>
        <w:t>4次付款时间/条件：</w:t>
      </w:r>
      <w:r>
        <w:rPr>
          <w:rFonts w:hint="eastAsia" w:asciiTheme="minorEastAsia" w:hAnsiTheme="minorEastAsia" w:eastAsiaTheme="minorEastAsia"/>
          <w:bCs/>
          <w:szCs w:val="24"/>
        </w:rPr>
        <w:t>项目投产运行，通过竣工验收后，收到中标人所开具增值税发票</w:t>
      </w:r>
      <w:r>
        <w:rPr>
          <w:rFonts w:asciiTheme="minorEastAsia" w:hAnsiTheme="minorEastAsia" w:eastAsiaTheme="minorEastAsia"/>
          <w:bCs/>
          <w:szCs w:val="24"/>
        </w:rPr>
        <w:t>30</w:t>
      </w:r>
      <w:r>
        <w:rPr>
          <w:rFonts w:hint="eastAsia" w:asciiTheme="minorEastAsia" w:hAnsiTheme="minorEastAsia" w:eastAsiaTheme="minorEastAsia"/>
          <w:bCs/>
          <w:szCs w:val="24"/>
        </w:rPr>
        <w:t>个工作日内，按中标金额</w:t>
      </w:r>
      <w:r>
        <w:rPr>
          <w:rFonts w:asciiTheme="minorEastAsia" w:hAnsiTheme="minorEastAsia" w:eastAsiaTheme="minorEastAsia"/>
          <w:bCs/>
          <w:szCs w:val="24"/>
        </w:rPr>
        <w:t>10</w:t>
      </w:r>
      <w:r>
        <w:rPr>
          <w:rFonts w:hint="eastAsia" w:asciiTheme="minorEastAsia" w:hAnsiTheme="minorEastAsia" w:eastAsiaTheme="minorEastAsia"/>
          <w:bCs/>
          <w:szCs w:val="24"/>
        </w:rPr>
        <w:t>％付款。</w:t>
      </w:r>
    </w:p>
    <w:p w14:paraId="7505D908">
      <w:pPr>
        <w:pStyle w:val="5"/>
        <w:rPr>
          <w:rFonts w:hint="eastAsia"/>
          <w:color w:val="000000"/>
          <w:sz w:val="24"/>
          <w:szCs w:val="24"/>
        </w:rPr>
      </w:pPr>
      <w:r>
        <w:rPr>
          <w:rFonts w:hint="eastAsia"/>
          <w:color w:val="000000"/>
          <w:sz w:val="24"/>
          <w:szCs w:val="24"/>
        </w:rPr>
        <w:t>7.3</w:t>
      </w:r>
      <w:r>
        <w:rPr>
          <w:color w:val="000000"/>
          <w:sz w:val="24"/>
          <w:szCs w:val="24"/>
        </w:rPr>
        <w:t>.</w:t>
      </w:r>
      <w:r>
        <w:rPr>
          <w:rFonts w:hint="eastAsia"/>
          <w:color w:val="000000"/>
          <w:sz w:val="24"/>
          <w:szCs w:val="24"/>
        </w:rPr>
        <w:t>违约责任</w:t>
      </w:r>
    </w:p>
    <w:p w14:paraId="7C640136">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（1）非因中标人原因导致</w:t>
      </w:r>
      <w:r>
        <w:rPr>
          <w:rFonts w:asciiTheme="minorEastAsia" w:hAnsiTheme="minorEastAsia" w:eastAsiaTheme="minorEastAsia"/>
          <w:szCs w:val="24"/>
        </w:rPr>
        <w:t>招标人未能按约定履行付款义务，中标人有权就逾期未</w:t>
      </w:r>
      <w:r>
        <w:rPr>
          <w:rFonts w:hint="eastAsia" w:asciiTheme="minorEastAsia" w:hAnsiTheme="minorEastAsia" w:eastAsiaTheme="minorEastAsia"/>
          <w:szCs w:val="24"/>
        </w:rPr>
        <w:t>付</w:t>
      </w:r>
      <w:r>
        <w:rPr>
          <w:rFonts w:asciiTheme="minorEastAsia" w:hAnsiTheme="minorEastAsia" w:eastAsiaTheme="minorEastAsia"/>
          <w:szCs w:val="24"/>
        </w:rPr>
        <w:t>部分按照每月</w:t>
      </w:r>
      <w:r>
        <w:rPr>
          <w:rFonts w:hint="eastAsia" w:asciiTheme="minorEastAsia" w:hAnsiTheme="minorEastAsia" w:eastAsiaTheme="minorEastAsia"/>
          <w:szCs w:val="24"/>
        </w:rPr>
        <w:t>0.</w:t>
      </w:r>
      <w:r>
        <w:rPr>
          <w:rFonts w:asciiTheme="minorEastAsia" w:hAnsiTheme="minorEastAsia" w:eastAsiaTheme="minorEastAsia"/>
          <w:szCs w:val="24"/>
        </w:rPr>
        <w:t>2%的比率收取迟付金</w:t>
      </w:r>
      <w:r>
        <w:rPr>
          <w:rFonts w:hint="eastAsia" w:asciiTheme="minorEastAsia" w:hAnsiTheme="minorEastAsia" w:eastAsiaTheme="minorEastAsia"/>
          <w:szCs w:val="24"/>
        </w:rPr>
        <w:t>。逾期超过90个工作日的，中标人有权依据本约定合同终止与解除条款，解除本协议。</w:t>
      </w:r>
    </w:p>
    <w:p w14:paraId="238F77D2">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（2）中标人交付产品不符合协议约定要求或标准的，中标人应按该产品对应费用的20%向招标人支付违约金，经两次修改仍未达成要求的，招标人有权依据本约定合同终止与解除条款，解除本协议及工作说明书。</w:t>
      </w:r>
    </w:p>
    <w:p w14:paraId="51F468DD">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（3）中标人逾期向招标人提供交付产品的，每逾期一日，应按该交付产品对应阶段应付服务费的万分之一向招标人承担违约责任。</w:t>
      </w:r>
    </w:p>
    <w:p w14:paraId="2867BB41">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4）中标人根据本协议及工作说明书或在履行本协议及工作说明书的过程中向招标人提供的有关信息、资料而产生的交付产品（含客户产品以及已有产品）侵害他人的知识产权，中标人应按本协议总费用的30%向招标人支付违约金。</w:t>
      </w:r>
    </w:p>
    <w:p w14:paraId="2E8785B4">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5）中标人未经招标人书面意擅自更换项目负责人的，应每人按项目总额1%向招标人承担违约责任。若中标人擅自更换项目负责人导致履行协议不能达到招标人要求的，招标人有权依据本约定合同终止与解除条款，解除本协议及工作说明书。</w:t>
      </w:r>
    </w:p>
    <w:p w14:paraId="2021231C">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中标人无正当理由更换项目负责人，应每人按项目总额2%向招标人承担违约责任。</w:t>
      </w:r>
    </w:p>
    <w:p w14:paraId="324C9F0C">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中标人擅自更换主要服务人员的，应每人按项目总额1%向招标人承担违约责任。</w:t>
      </w:r>
    </w:p>
    <w:p w14:paraId="407E59D7">
      <w:pPr>
        <w:spacing w:line="360" w:lineRule="auto"/>
        <w:ind w:firstLine="480"/>
      </w:pPr>
      <w:r>
        <w:rPr>
          <w:rFonts w:hint="eastAsia" w:asciiTheme="minorEastAsia" w:hAnsiTheme="minorEastAsia" w:eastAsiaTheme="minorEastAsia"/>
          <w:szCs w:val="24"/>
        </w:rPr>
        <w:t>中标人无正当理由拒绝撤换主要服务人员的，应每人按项目总额1%向招标人承担违约责任。</w:t>
      </w:r>
    </w:p>
    <w:p w14:paraId="4A4955B6">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（6）中标人违反合同“知识产权”、“保密条款”、“安全条款”等条款中任一约定的，应按合同总金额的</w:t>
      </w:r>
      <w:r>
        <w:rPr>
          <w:rFonts w:hint="eastAsia" w:asciiTheme="minorEastAsia" w:hAnsiTheme="minorEastAsia" w:eastAsiaTheme="minorEastAsia"/>
          <w:szCs w:val="24"/>
          <w:u w:val="single"/>
        </w:rPr>
        <w:t>5％</w:t>
      </w:r>
      <w:r>
        <w:rPr>
          <w:rFonts w:hint="eastAsia" w:asciiTheme="minorEastAsia" w:hAnsiTheme="minorEastAsia" w:eastAsiaTheme="minorEastAsia"/>
          <w:szCs w:val="24"/>
        </w:rPr>
        <w:t xml:space="preserve">向招标人支付违约金,除此之外招标人有权解除或部分解除合同。 </w:t>
      </w:r>
    </w:p>
    <w:p w14:paraId="7A6A0154">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（7）关于发票的其他约定</w:t>
      </w:r>
    </w:p>
    <w:p w14:paraId="4FC1E807">
      <w:pPr>
        <w:numPr>
          <w:ilvl w:val="0"/>
          <w:numId w:val="2"/>
        </w:num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若中标人提供的发票与合同载明信息不一致或发票不合规，招标人有权延迟支付应付款项直至中标人提供合法、合规发票为止，且不承担任何违约责任，因此产生的损失由中标人自行承担。</w:t>
      </w:r>
    </w:p>
    <w:p w14:paraId="5CEF3FC4">
      <w:pPr>
        <w:numPr>
          <w:ilvl w:val="0"/>
          <w:numId w:val="2"/>
        </w:num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中标人将严格按照相关税收法律法规，开具合法合规的增值税专用发票。汇总开具专用发票的，应按规定开具销售货物或者提供应税劳务清单。因中标人开具的增值税专用发票不符合税收法规或税务机关相关规定而给招标人造成经济损失的，中标人应承担赔偿责任，并重新向招标人开具符合规定的增值税专用发票。前述经济损失包括但不限于直接与间接损失、行政机关的罚金等。</w:t>
      </w:r>
    </w:p>
    <w:p w14:paraId="616E1945">
      <w:pPr>
        <w:numPr>
          <w:ilvl w:val="0"/>
          <w:numId w:val="2"/>
        </w:num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 xml:space="preserve">中标人开具增值税专用发票后的30个自然日内应派专人或使用挂号信件、特快专递等方式及时将增值税专用发票送达至招标人，逾期送达的，招标人有权拒收发票并要求中标人承担相应责任，包括但不限于赔偿损失、重新开具合法发票等。 </w:t>
      </w:r>
    </w:p>
    <w:p w14:paraId="57CC4874">
      <w:pPr>
        <w:numPr>
          <w:ilvl w:val="0"/>
          <w:numId w:val="2"/>
        </w:num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中标人开具的增值税专用发票在送达招标人以前如发生丢失或被盗等情况，导致相应票据未顺利送达招标人的，中标人应负责按照税收法规的相关规定提供有关资料，并确保招标人顺利获得抵扣，否则，招标人因此遭受的经济损失由中标人负责赔偿。</w:t>
      </w:r>
    </w:p>
    <w:p w14:paraId="5304628E">
      <w:pPr>
        <w:numPr>
          <w:ilvl w:val="0"/>
          <w:numId w:val="2"/>
        </w:num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中标人开具的票据送达招标人后，如招标人丢失相关票据，中标人应积极协助招标人，按照相关税收法律法规提供有关资料，并确保招标人顺利获得抵扣。</w:t>
      </w:r>
    </w:p>
    <w:p w14:paraId="6A45C84F">
      <w:pPr>
        <w:numPr>
          <w:ilvl w:val="0"/>
          <w:numId w:val="2"/>
        </w:num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若中标人所提供的增值税专用发票不能认证通过，中标人应支付增值税专用发票中载明的税收款金额作为违约金。</w:t>
      </w:r>
    </w:p>
    <w:p w14:paraId="12228007">
      <w:pPr>
        <w:pStyle w:val="5"/>
        <w:rPr>
          <w:rFonts w:hint="eastAsia"/>
          <w:color w:val="000000"/>
          <w:sz w:val="24"/>
          <w:szCs w:val="24"/>
        </w:rPr>
      </w:pPr>
      <w:r>
        <w:rPr>
          <w:rFonts w:hint="eastAsia"/>
          <w:color w:val="000000"/>
          <w:sz w:val="24"/>
          <w:szCs w:val="24"/>
        </w:rPr>
        <w:t>7.</w:t>
      </w:r>
      <w:r>
        <w:rPr>
          <w:color w:val="000000"/>
          <w:sz w:val="24"/>
          <w:szCs w:val="24"/>
        </w:rPr>
        <w:t>4.</w:t>
      </w:r>
      <w:r>
        <w:rPr>
          <w:rFonts w:hint="eastAsia"/>
          <w:color w:val="000000"/>
          <w:sz w:val="24"/>
          <w:szCs w:val="24"/>
        </w:rPr>
        <w:t>合同变更与解除</w:t>
      </w:r>
    </w:p>
    <w:p w14:paraId="509653A6">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1）为了平衡双方的权益，经招标人、中标人双方同意，若招标人对中标人交付的产品或咨询服务不满意的，招标人有权解除本协议，同时，此种解除并不构成中标人的违约，对于协议解除前中标人已经完成并交付给招标人经招标人明确以书面方式验收通过的产品，招标人应支付费用。</w:t>
      </w:r>
    </w:p>
    <w:p w14:paraId="3213EF9B">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2）中标人提供的服务或交付的交付产品不符合协议约定或招标人要求或经过招标人提出整改要求后，中标人经两次（含两次）修改以后仍未达成要求的，招标人有权解除本协议，同时，中标人应返还招标人已支付的服务费用。</w:t>
      </w:r>
    </w:p>
    <w:p w14:paraId="41DBE127">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（3）中标人逾期超过45个工作日提供交付产品的，招标人有权解除本协议。</w:t>
      </w:r>
    </w:p>
    <w:p w14:paraId="2B5978D3">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（4）中标人交付产品不符合协议约定或招标人要求的，经招标人提出两次修改要求后，中标人仍未能交付符合协议约定要求或标准的交付产品的，招标人有权解除本协议及工作说明书。</w:t>
      </w:r>
    </w:p>
    <w:p w14:paraId="227D0075">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（5）中标人擅自更换项目负责人导致履行协议不能达到招标人要求的，招标人有权依据本约定解除本协议及工作说明书。</w:t>
      </w:r>
    </w:p>
    <w:p w14:paraId="30875F1F">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6）若发生双方依据本协议及工作说明书的约定或法律规定解除协议的，本协议及附件自另一方收到解除方解除合同通知之日解除。因招标人违约导致中标人行使解除权的，对于中标人已提交给招标人并经招标人书面验收通过的该部分产品的费用，以及招标人应向中标人支付的违约金，招标人均应在合同解除后45个工作日内支付。对于因中标人违约导致招标人行使解除权的，中标人应退还招标人已经支付但中标人尚未实际履行部分的费用，并按协议约定向招标人承担违约金或赔偿金，并在合同解除后45个工作日内支付完毕。</w:t>
      </w:r>
    </w:p>
    <w:p w14:paraId="54590133">
      <w:pPr>
        <w:pStyle w:val="4"/>
        <w:numPr>
          <w:ilvl w:val="0"/>
          <w:numId w:val="1"/>
        </w:numPr>
        <w:spacing w:line="360" w:lineRule="auto"/>
        <w:rPr>
          <w:rFonts w:hint="eastAsia" w:ascii="宋体" w:hAnsi="宋体"/>
          <w:sz w:val="24"/>
          <w:szCs w:val="24"/>
        </w:rPr>
      </w:pPr>
      <w:bookmarkStart w:id="20" w:name="_Toc196135361"/>
      <w:r>
        <w:rPr>
          <w:rFonts w:hint="eastAsia" w:ascii="宋体" w:hAnsi="宋体"/>
          <w:sz w:val="24"/>
          <w:szCs w:val="24"/>
        </w:rPr>
        <w:t>评标规则与中标通知</w:t>
      </w:r>
      <w:bookmarkEnd w:id="20"/>
    </w:p>
    <w:p w14:paraId="758FF2AB">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评标规则</w:t>
      </w:r>
    </w:p>
    <w:p w14:paraId="2E5D6E9A">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（1）投标人应完全满足招标书要求，否则取消资格。</w:t>
      </w:r>
    </w:p>
    <w:p w14:paraId="5168D3C0">
      <w:pPr>
        <w:spacing w:line="360" w:lineRule="auto"/>
        <w:ind w:firstLine="480"/>
        <w:rPr>
          <w:rFonts w:hint="eastAsia" w:asciiTheme="minorEastAsia" w:hAnsiTheme="minorEastAsia" w:eastAsiaTheme="minorEastAsia"/>
          <w:szCs w:val="24"/>
        </w:rPr>
      </w:pPr>
      <w:r>
        <w:rPr>
          <w:rFonts w:hint="eastAsia" w:asciiTheme="minorEastAsia" w:hAnsiTheme="minorEastAsia" w:eastAsiaTheme="minorEastAsia"/>
          <w:szCs w:val="24"/>
        </w:rPr>
        <w:t>（2）本项目由招标现场评标工作组从投标人资质案例、技术支持服务、报价等方面进行综合评分，综合评分最高者中标。</w:t>
      </w:r>
    </w:p>
    <w:p w14:paraId="3D90435E">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中标通知方式和时间</w:t>
      </w:r>
    </w:p>
    <w:p w14:paraId="62754616">
      <w:pPr>
        <w:spacing w:line="360" w:lineRule="auto"/>
        <w:ind w:firstLine="480" w:firstLineChars="200"/>
        <w:rPr>
          <w:rFonts w:hint="eastAsia" w:asciiTheme="minorEastAsia" w:hAnsiTheme="minorEastAsia" w:eastAsiaTheme="minorEastAsia"/>
          <w:szCs w:val="24"/>
        </w:rPr>
      </w:pPr>
      <w:r>
        <w:rPr>
          <w:rFonts w:asciiTheme="minorEastAsia" w:hAnsiTheme="minorEastAsia" w:eastAsiaTheme="minorEastAsia"/>
          <w:szCs w:val="24"/>
        </w:rPr>
        <w:t>产生中标单位后，招标</w:t>
      </w:r>
      <w:r>
        <w:rPr>
          <w:rFonts w:hint="eastAsia" w:asciiTheme="minorEastAsia" w:hAnsiTheme="minorEastAsia" w:eastAsiaTheme="minorEastAsia"/>
          <w:szCs w:val="24"/>
        </w:rPr>
        <w:t>人</w:t>
      </w:r>
      <w:r>
        <w:rPr>
          <w:rFonts w:asciiTheme="minorEastAsia" w:hAnsiTheme="minorEastAsia" w:eastAsiaTheme="minorEastAsia"/>
          <w:szCs w:val="24"/>
        </w:rPr>
        <w:t>将</w:t>
      </w:r>
      <w:r>
        <w:rPr>
          <w:rFonts w:hint="eastAsia" w:asciiTheme="minorEastAsia" w:hAnsiTheme="minorEastAsia" w:eastAsiaTheme="minorEastAsia"/>
          <w:szCs w:val="24"/>
        </w:rPr>
        <w:t>以书面或电子邮件方式发送《中标通知书》</w:t>
      </w:r>
      <w:r>
        <w:rPr>
          <w:rFonts w:asciiTheme="minorEastAsia" w:hAnsiTheme="minorEastAsia" w:eastAsiaTheme="minorEastAsia"/>
          <w:szCs w:val="24"/>
        </w:rPr>
        <w:t>。</w:t>
      </w:r>
    </w:p>
    <w:p w14:paraId="480EAB22">
      <w:pPr>
        <w:pStyle w:val="4"/>
        <w:numPr>
          <w:ilvl w:val="0"/>
          <w:numId w:val="1"/>
        </w:numPr>
        <w:spacing w:line="360" w:lineRule="auto"/>
        <w:rPr>
          <w:rFonts w:hint="eastAsia" w:ascii="宋体" w:hAnsi="宋体"/>
          <w:sz w:val="24"/>
          <w:szCs w:val="24"/>
        </w:rPr>
      </w:pPr>
      <w:bookmarkStart w:id="21" w:name="_Toc196135362"/>
      <w:bookmarkStart w:id="22" w:name="_Toc524615813"/>
      <w:r>
        <w:rPr>
          <w:rFonts w:hint="eastAsia" w:ascii="宋体" w:hAnsi="宋体"/>
          <w:sz w:val="24"/>
          <w:szCs w:val="24"/>
        </w:rPr>
        <w:t>投标文件组成</w:t>
      </w:r>
      <w:bookmarkEnd w:id="21"/>
      <w:bookmarkEnd w:id="22"/>
    </w:p>
    <w:p w14:paraId="75C81BD4">
      <w:pPr>
        <w:pStyle w:val="5"/>
        <w:numPr>
          <w:ilvl w:val="1"/>
          <w:numId w:val="1"/>
        </w:numPr>
        <w:spacing w:line="360" w:lineRule="auto"/>
        <w:rPr>
          <w:rFonts w:hint="eastAsia" w:asciiTheme="minorEastAsia" w:hAnsiTheme="minorEastAsia" w:eastAsiaTheme="minorEastAsia"/>
          <w:sz w:val="24"/>
          <w:szCs w:val="24"/>
        </w:rPr>
      </w:pPr>
      <w:bookmarkStart w:id="23" w:name="_Toc364261852"/>
      <w:bookmarkStart w:id="24" w:name="_Toc451523651"/>
      <w:bookmarkStart w:id="25" w:name="_Toc364261129"/>
      <w:r>
        <w:rPr>
          <w:rFonts w:hint="eastAsia" w:asciiTheme="minorEastAsia" w:hAnsiTheme="minorEastAsia" w:eastAsiaTheme="minorEastAsia"/>
          <w:sz w:val="24"/>
          <w:szCs w:val="24"/>
        </w:rPr>
        <w:t>商务投标文件</w:t>
      </w:r>
      <w:bookmarkEnd w:id="23"/>
      <w:bookmarkEnd w:id="24"/>
      <w:bookmarkEnd w:id="25"/>
    </w:p>
    <w:p w14:paraId="18E0841C">
      <w:pPr>
        <w:spacing w:line="360" w:lineRule="auto"/>
        <w:ind w:firstLine="480" w:firstLineChars="200"/>
        <w:rPr>
          <w:rFonts w:ascii="宋体" w:cs="宋体"/>
          <w:szCs w:val="24"/>
        </w:rPr>
      </w:pPr>
      <w:bookmarkStart w:id="26" w:name="_Toc364261853"/>
      <w:bookmarkStart w:id="27" w:name="_Toc364261130"/>
      <w:bookmarkStart w:id="28" w:name="_Toc451523652"/>
      <w:r>
        <w:rPr>
          <w:rFonts w:hint="eastAsia" w:asciiTheme="minorEastAsia" w:hAnsiTheme="minorEastAsia" w:eastAsiaTheme="minorEastAsia"/>
          <w:szCs w:val="24"/>
        </w:rPr>
        <w:t>（</w:t>
      </w:r>
      <w:r>
        <w:rPr>
          <w:rFonts w:ascii="宋体" w:hAnsi="宋体" w:cs="宋体"/>
          <w:szCs w:val="24"/>
        </w:rPr>
        <w:t>1</w:t>
      </w:r>
      <w:r>
        <w:rPr>
          <w:rFonts w:hint="eastAsia" w:asciiTheme="minorEastAsia" w:hAnsiTheme="minorEastAsia" w:eastAsiaTheme="minorEastAsia"/>
          <w:szCs w:val="24"/>
        </w:rPr>
        <w:t>）</w:t>
      </w:r>
      <w:r>
        <w:rPr>
          <w:rFonts w:hint="eastAsia" w:ascii="宋体" w:hAnsi="宋体" w:cs="宋体"/>
          <w:szCs w:val="24"/>
        </w:rPr>
        <w:t>目录。</w:t>
      </w:r>
    </w:p>
    <w:p w14:paraId="7838F5D1">
      <w:pPr>
        <w:spacing w:line="360" w:lineRule="auto"/>
        <w:ind w:firstLine="480" w:firstLineChars="200"/>
        <w:rPr>
          <w:rFonts w:ascii="宋体" w:cs="宋体"/>
          <w:szCs w:val="24"/>
        </w:rPr>
      </w:pPr>
      <w:r>
        <w:rPr>
          <w:rFonts w:hint="eastAsia" w:asciiTheme="minorEastAsia" w:hAnsiTheme="minorEastAsia" w:eastAsiaTheme="minorEastAsia"/>
          <w:szCs w:val="24"/>
        </w:rPr>
        <w:t>（</w:t>
      </w:r>
      <w:r>
        <w:rPr>
          <w:rFonts w:ascii="宋体" w:hAnsi="宋体" w:cs="宋体"/>
          <w:szCs w:val="24"/>
        </w:rPr>
        <w:t>2</w:t>
      </w:r>
      <w:r>
        <w:rPr>
          <w:rFonts w:hint="eastAsia" w:asciiTheme="minorEastAsia" w:hAnsiTheme="minorEastAsia" w:eastAsiaTheme="minorEastAsia"/>
          <w:szCs w:val="24"/>
        </w:rPr>
        <w:t>）</w:t>
      </w:r>
      <w:r>
        <w:rPr>
          <w:rFonts w:hint="eastAsia" w:ascii="宋体" w:hAnsi="宋体" w:cs="宋体"/>
          <w:szCs w:val="24"/>
        </w:rPr>
        <w:t>法定代表人资格证明书（附件</w:t>
      </w:r>
      <w:r>
        <w:rPr>
          <w:rFonts w:ascii="宋体" w:hAnsi="宋体" w:cs="宋体"/>
          <w:szCs w:val="24"/>
        </w:rPr>
        <w:t>3</w:t>
      </w:r>
      <w:r>
        <w:rPr>
          <w:rFonts w:hint="eastAsia" w:ascii="宋体" w:hAnsi="宋体" w:cs="宋体"/>
          <w:szCs w:val="24"/>
        </w:rPr>
        <w:t>）及法定代表人授权委托书（附件</w:t>
      </w:r>
      <w:r>
        <w:rPr>
          <w:rFonts w:ascii="宋体" w:hAnsi="宋体" w:cs="宋体"/>
          <w:szCs w:val="24"/>
        </w:rPr>
        <w:t>4</w:t>
      </w:r>
      <w:r>
        <w:rPr>
          <w:rFonts w:hint="eastAsia" w:ascii="宋体" w:hAnsi="宋体" w:cs="宋体"/>
          <w:szCs w:val="24"/>
        </w:rPr>
        <w:t>）（如委托他人办理，应附此证书）、公司规模、资质认证情况（例如信息系统集成及服务资质、信息技术服务运行维护标准符合性证书等）。</w:t>
      </w:r>
    </w:p>
    <w:p w14:paraId="3C3B565A">
      <w:pPr>
        <w:spacing w:line="360" w:lineRule="auto"/>
        <w:ind w:firstLine="480" w:firstLineChars="200"/>
        <w:rPr>
          <w:rFonts w:ascii="宋体" w:cs="宋体"/>
          <w:szCs w:val="24"/>
        </w:rPr>
      </w:pPr>
      <w:r>
        <w:rPr>
          <w:rFonts w:hint="eastAsia" w:asciiTheme="minorEastAsia" w:hAnsiTheme="minorEastAsia" w:eastAsiaTheme="minorEastAsia"/>
          <w:szCs w:val="24"/>
        </w:rPr>
        <w:t>（</w:t>
      </w:r>
      <w:r>
        <w:rPr>
          <w:rFonts w:ascii="宋体" w:hAnsi="宋体" w:cs="宋体"/>
          <w:szCs w:val="24"/>
        </w:rPr>
        <w:t>3</w:t>
      </w:r>
      <w:r>
        <w:rPr>
          <w:rFonts w:hint="eastAsia" w:asciiTheme="minorEastAsia" w:hAnsiTheme="minorEastAsia" w:eastAsiaTheme="minorEastAsia"/>
          <w:szCs w:val="24"/>
        </w:rPr>
        <w:t>）</w:t>
      </w:r>
      <w:r>
        <w:rPr>
          <w:rFonts w:hint="eastAsia" w:ascii="宋体" w:hAnsi="宋体" w:cs="宋体"/>
          <w:szCs w:val="24"/>
        </w:rPr>
        <w:t>企业资信文件</w:t>
      </w:r>
    </w:p>
    <w:p w14:paraId="4B6C8540">
      <w:pPr>
        <w:spacing w:line="360" w:lineRule="auto"/>
        <w:ind w:firstLine="480" w:firstLineChars="200"/>
        <w:rPr>
          <w:rFonts w:ascii="宋体" w:cs="宋体"/>
          <w:szCs w:val="24"/>
        </w:rPr>
      </w:pPr>
      <w:r>
        <w:rPr>
          <w:rFonts w:hint="eastAsia" w:ascii="宋体" w:hAnsi="宋体" w:cs="宋体"/>
          <w:szCs w:val="24"/>
        </w:rPr>
        <w:t>①企业营业执照复印件、组织机构代码证、税务登记证（或三证合一的营业执照复印件）、近二年财务报表等，需加盖公章。</w:t>
      </w:r>
    </w:p>
    <w:p w14:paraId="1D40B7D4">
      <w:pPr>
        <w:spacing w:line="360" w:lineRule="auto"/>
        <w:ind w:firstLine="480" w:firstLineChars="200"/>
        <w:rPr>
          <w:rFonts w:ascii="宋体" w:cs="宋体"/>
          <w:szCs w:val="24"/>
        </w:rPr>
      </w:pPr>
      <w:r>
        <w:rPr>
          <w:rFonts w:hint="eastAsia" w:ascii="宋体" w:hAnsi="宋体" w:cs="宋体"/>
          <w:szCs w:val="24"/>
        </w:rPr>
        <w:t>②网络设备经销商及服务合作伙伴资质证明，需加盖公章。</w:t>
      </w:r>
    </w:p>
    <w:p w14:paraId="56D8EFBE">
      <w:pPr>
        <w:spacing w:line="360" w:lineRule="auto"/>
        <w:ind w:firstLine="480" w:firstLineChars="200"/>
        <w:rPr>
          <w:rFonts w:ascii="宋体" w:cs="宋体"/>
          <w:szCs w:val="24"/>
        </w:rPr>
      </w:pPr>
      <w:r>
        <w:rPr>
          <w:rFonts w:hint="eastAsia" w:asciiTheme="minorEastAsia" w:hAnsiTheme="minorEastAsia" w:eastAsiaTheme="minorEastAsia"/>
          <w:szCs w:val="24"/>
        </w:rPr>
        <w:t>（</w:t>
      </w:r>
      <w:r>
        <w:rPr>
          <w:rFonts w:ascii="宋体" w:hAnsi="宋体" w:cs="宋体"/>
          <w:szCs w:val="24"/>
        </w:rPr>
        <w:t>4</w:t>
      </w:r>
      <w:r>
        <w:rPr>
          <w:rFonts w:hint="eastAsia" w:asciiTheme="minorEastAsia" w:hAnsiTheme="minorEastAsia" w:eastAsiaTheme="minorEastAsia"/>
          <w:szCs w:val="24"/>
        </w:rPr>
        <w:t>）</w:t>
      </w:r>
      <w:r>
        <w:rPr>
          <w:rFonts w:hint="eastAsia" w:ascii="宋体" w:hAnsi="宋体" w:cs="宋体"/>
          <w:szCs w:val="24"/>
        </w:rPr>
        <w:t>近三年（从投标之日起向前回溯）国内金融行业</w:t>
      </w:r>
      <w:r>
        <w:rPr>
          <w:rFonts w:hint="eastAsia" w:ascii="宋体" w:hAnsi="宋体"/>
          <w:szCs w:val="24"/>
        </w:rPr>
        <w:t>（证券业优先）</w:t>
      </w:r>
      <w:r>
        <w:rPr>
          <w:rFonts w:hint="eastAsia" w:ascii="宋体" w:hAnsi="宋体" w:cs="宋体"/>
          <w:szCs w:val="24"/>
        </w:rPr>
        <w:t>类似网络建设项目案例名称列表、案例证明资料，证明材料中需可以明确看到合同名称、首尾页、甲乙方名称、合同设备清单等信息。</w:t>
      </w:r>
    </w:p>
    <w:p w14:paraId="5B7240E9">
      <w:pPr>
        <w:spacing w:line="360" w:lineRule="auto"/>
        <w:ind w:firstLine="480" w:firstLineChars="200"/>
        <w:rPr>
          <w:rFonts w:hint="eastAsia" w:ascii="宋体" w:hAnsi="宋体" w:cs="宋体"/>
          <w:szCs w:val="24"/>
        </w:rPr>
      </w:pPr>
      <w:r>
        <w:rPr>
          <w:rFonts w:hint="eastAsia" w:asciiTheme="minorEastAsia" w:hAnsiTheme="minorEastAsia" w:eastAsiaTheme="minorEastAsia"/>
          <w:szCs w:val="24"/>
        </w:rPr>
        <w:t>（</w:t>
      </w:r>
      <w:r>
        <w:rPr>
          <w:rFonts w:ascii="宋体" w:hAnsi="宋体" w:cs="宋体"/>
          <w:szCs w:val="24"/>
        </w:rPr>
        <w:t>5</w:t>
      </w:r>
      <w:r>
        <w:rPr>
          <w:rFonts w:hint="eastAsia" w:asciiTheme="minorEastAsia" w:hAnsiTheme="minorEastAsia" w:eastAsiaTheme="minorEastAsia"/>
          <w:szCs w:val="24"/>
        </w:rPr>
        <w:t>）</w:t>
      </w:r>
      <w:r>
        <w:rPr>
          <w:rFonts w:hint="eastAsia" w:ascii="宋体" w:hAnsi="宋体" w:cs="宋体"/>
          <w:szCs w:val="24"/>
        </w:rPr>
        <w:t>投标人在深圳、贵阳（如果贵阳没有，请提供西南地区）设有售后服务机构（总部、分公司、办事处）以及技术工程师人员数量规模的证明材料（例如租房、社保等）。</w:t>
      </w:r>
    </w:p>
    <w:p w14:paraId="49311245">
      <w:pPr>
        <w:spacing w:line="360" w:lineRule="auto"/>
        <w:ind w:firstLine="480" w:firstLineChars="200"/>
        <w:rPr>
          <w:rFonts w:ascii="宋体" w:cs="宋体"/>
          <w:szCs w:val="24"/>
        </w:rPr>
      </w:pPr>
      <w:bookmarkStart w:id="29" w:name="_Hlk43811908"/>
      <w:r>
        <w:rPr>
          <w:rFonts w:hint="eastAsia" w:asciiTheme="minorEastAsia" w:hAnsiTheme="minorEastAsia" w:eastAsiaTheme="minorEastAsia"/>
          <w:szCs w:val="24"/>
        </w:rPr>
        <w:t>（</w:t>
      </w:r>
      <w:r>
        <w:rPr>
          <w:rFonts w:hint="eastAsia" w:ascii="宋体" w:hAnsi="宋体" w:cs="宋体"/>
          <w:szCs w:val="24"/>
        </w:rPr>
        <w:t>6</w:t>
      </w:r>
      <w:r>
        <w:rPr>
          <w:rFonts w:hint="eastAsia" w:asciiTheme="minorEastAsia" w:hAnsiTheme="minorEastAsia" w:eastAsiaTheme="minorEastAsia"/>
          <w:szCs w:val="24"/>
        </w:rPr>
        <w:t>）</w:t>
      </w:r>
      <w:r>
        <w:rPr>
          <w:rFonts w:hint="eastAsia" w:ascii="宋体" w:hAnsi="宋体" w:cs="宋体"/>
          <w:szCs w:val="24"/>
        </w:rPr>
        <w:t>原厂针对此项目的专项授权。</w:t>
      </w:r>
    </w:p>
    <w:bookmarkEnd w:id="29"/>
    <w:p w14:paraId="7A96C2EB">
      <w:pPr>
        <w:spacing w:line="360" w:lineRule="auto"/>
        <w:ind w:firstLine="480" w:firstLineChars="200"/>
      </w:pPr>
      <w:r>
        <w:rPr>
          <w:rFonts w:hint="eastAsia" w:asciiTheme="minorEastAsia" w:hAnsiTheme="minorEastAsia" w:eastAsiaTheme="minorEastAsia"/>
          <w:szCs w:val="24"/>
        </w:rPr>
        <w:t>（</w:t>
      </w:r>
      <w:r>
        <w:rPr>
          <w:rFonts w:ascii="宋体" w:hAnsi="宋体" w:cs="宋体"/>
          <w:szCs w:val="24"/>
        </w:rPr>
        <w:t>7</w:t>
      </w:r>
      <w:r>
        <w:rPr>
          <w:rFonts w:hint="eastAsia" w:asciiTheme="minorEastAsia" w:hAnsiTheme="minorEastAsia" w:eastAsiaTheme="minorEastAsia"/>
          <w:szCs w:val="24"/>
        </w:rPr>
        <w:t>）</w:t>
      </w:r>
      <w:r>
        <w:rPr>
          <w:rFonts w:hint="eastAsia" w:ascii="宋体" w:hAnsi="宋体" w:cs="宋体"/>
          <w:szCs w:val="24"/>
        </w:rPr>
        <w:t>其它材料：投标人认为应提交的其他材料。</w:t>
      </w:r>
    </w:p>
    <w:p w14:paraId="04C0BA1F">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技术投标文件</w:t>
      </w:r>
      <w:bookmarkEnd w:id="26"/>
      <w:bookmarkEnd w:id="27"/>
      <w:bookmarkEnd w:id="28"/>
    </w:p>
    <w:p w14:paraId="70B0D767">
      <w:pPr>
        <w:spacing w:line="360" w:lineRule="auto"/>
        <w:ind w:firstLine="480" w:firstLineChars="200"/>
        <w:rPr>
          <w:rFonts w:hint="eastAsia" w:ascii="宋体" w:hAnsi="宋体"/>
          <w:szCs w:val="24"/>
        </w:rPr>
      </w:pPr>
      <w:bookmarkStart w:id="30" w:name="_Toc364261854"/>
      <w:bookmarkStart w:id="31" w:name="_Toc451523653"/>
      <w:bookmarkStart w:id="32" w:name="_Toc364261131"/>
      <w:r>
        <w:rPr>
          <w:rFonts w:hint="eastAsia" w:ascii="宋体" w:hAnsi="宋体"/>
          <w:szCs w:val="24"/>
        </w:rPr>
        <w:t>根据招标文件技术条件，由投标人按照招标文件技术要求规定的内容自行编制，应包括但不限于如下内容：</w:t>
      </w:r>
    </w:p>
    <w:p w14:paraId="4B4487B3">
      <w:pPr>
        <w:spacing w:line="360" w:lineRule="auto"/>
        <w:ind w:firstLine="480" w:firstLineChars="200"/>
        <w:rPr>
          <w:rFonts w:ascii="宋体"/>
          <w:szCs w:val="24"/>
        </w:rPr>
      </w:pPr>
      <w:r>
        <w:rPr>
          <w:rFonts w:hint="eastAsia" w:asciiTheme="minorEastAsia" w:hAnsiTheme="minorEastAsia" w:eastAsiaTheme="minorEastAsia"/>
          <w:szCs w:val="24"/>
        </w:rPr>
        <w:t>（</w:t>
      </w:r>
      <w:r>
        <w:rPr>
          <w:rFonts w:hint="eastAsia" w:ascii="宋体" w:hAnsi="宋体" w:cs="宋体" w:eastAsiaTheme="minorEastAsia"/>
          <w:szCs w:val="24"/>
        </w:rPr>
        <w:t>1</w:t>
      </w:r>
      <w:r>
        <w:rPr>
          <w:rFonts w:hint="eastAsia" w:asciiTheme="minorEastAsia" w:hAnsiTheme="minorEastAsia" w:eastAsiaTheme="minorEastAsia"/>
          <w:szCs w:val="24"/>
        </w:rPr>
        <w:t>）</w:t>
      </w:r>
      <w:r>
        <w:rPr>
          <w:rFonts w:hint="eastAsia" w:ascii="宋体" w:hAnsi="宋体"/>
          <w:szCs w:val="24"/>
        </w:rPr>
        <w:t>目录。</w:t>
      </w:r>
    </w:p>
    <w:p w14:paraId="1F16AC7B">
      <w:pPr>
        <w:spacing w:line="360" w:lineRule="auto"/>
        <w:ind w:firstLine="480" w:firstLineChars="200"/>
        <w:rPr>
          <w:rFonts w:ascii="宋体"/>
          <w:szCs w:val="24"/>
        </w:rPr>
      </w:pPr>
      <w:r>
        <w:rPr>
          <w:rFonts w:hint="eastAsia" w:asciiTheme="minorEastAsia" w:hAnsiTheme="minorEastAsia" w:eastAsiaTheme="minorEastAsia"/>
          <w:szCs w:val="24"/>
        </w:rPr>
        <w:t>（</w:t>
      </w:r>
      <w:r>
        <w:rPr>
          <w:rFonts w:hint="eastAsia" w:ascii="宋体" w:hAnsi="宋体" w:cs="宋体" w:eastAsiaTheme="minorEastAsia"/>
          <w:szCs w:val="24"/>
        </w:rPr>
        <w:t>2</w:t>
      </w:r>
      <w:r>
        <w:rPr>
          <w:rFonts w:hint="eastAsia" w:asciiTheme="minorEastAsia" w:hAnsiTheme="minorEastAsia" w:eastAsiaTheme="minorEastAsia"/>
          <w:szCs w:val="24"/>
        </w:rPr>
        <w:t>）</w:t>
      </w:r>
      <w:r>
        <w:rPr>
          <w:rFonts w:hint="eastAsia" w:ascii="宋体" w:hAnsi="宋体"/>
          <w:szCs w:val="24"/>
        </w:rPr>
        <w:t>按照附件格式提供偏离表（电子档需为</w:t>
      </w:r>
      <w:r>
        <w:rPr>
          <w:rFonts w:ascii="宋体" w:hAnsi="宋体"/>
          <w:szCs w:val="24"/>
        </w:rPr>
        <w:t>excel</w:t>
      </w:r>
      <w:r>
        <w:rPr>
          <w:rFonts w:hint="eastAsia" w:ascii="宋体" w:hAnsi="宋体"/>
          <w:szCs w:val="24"/>
        </w:rPr>
        <w:t>版本）。</w:t>
      </w:r>
    </w:p>
    <w:p w14:paraId="43E3A4FA">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（3）技术方案</w:t>
      </w:r>
    </w:p>
    <w:p w14:paraId="0F3CF0CD">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不限于表述内容：系统需求分析、技术方案、实施方案、实施重点关注项、测试方案、关键技术路线等。</w:t>
      </w:r>
    </w:p>
    <w:p w14:paraId="2FEEA41E">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4</w:t>
      </w:r>
      <w:r>
        <w:rPr>
          <w:rFonts w:hint="eastAsia" w:asciiTheme="minorEastAsia" w:hAnsiTheme="minorEastAsia" w:eastAsiaTheme="minorEastAsia"/>
          <w:szCs w:val="24"/>
        </w:rPr>
        <w:t>）实施及组织计划</w:t>
      </w:r>
    </w:p>
    <w:p w14:paraId="711ADCDA">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不限于表述内容：项目团队、项目管理、项目计划及里程碑、项目风险识别与控制、项目质量管理措施、项目沟通管理、项目变更管理、测试方案、验收方案等。</w:t>
      </w:r>
    </w:p>
    <w:p w14:paraId="2E977BC0">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5</w:t>
      </w:r>
      <w:r>
        <w:rPr>
          <w:rFonts w:hint="eastAsia" w:asciiTheme="minorEastAsia" w:hAnsiTheme="minorEastAsia" w:eastAsiaTheme="minorEastAsia"/>
          <w:szCs w:val="24"/>
        </w:rPr>
        <w:t>）项目经理和项目成员信息，包括姓名、联系方式及相关资质认证情况，</w:t>
      </w:r>
      <w:r>
        <w:rPr>
          <w:rFonts w:asciiTheme="minorEastAsia" w:hAnsiTheme="minorEastAsia" w:eastAsiaTheme="minorEastAsia"/>
          <w:szCs w:val="24"/>
        </w:rPr>
        <w:t>要求社保可查</w:t>
      </w:r>
      <w:r>
        <w:rPr>
          <w:rFonts w:hint="eastAsia" w:asciiTheme="minorEastAsia" w:hAnsiTheme="minorEastAsia" w:eastAsiaTheme="minorEastAsia"/>
          <w:szCs w:val="24"/>
        </w:rPr>
        <w:t>。</w:t>
      </w:r>
    </w:p>
    <w:p w14:paraId="0473459A">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6</w:t>
      </w:r>
      <w:r>
        <w:rPr>
          <w:rFonts w:hint="eastAsia" w:asciiTheme="minorEastAsia" w:hAnsiTheme="minorEastAsia" w:eastAsiaTheme="minorEastAsia"/>
          <w:szCs w:val="24"/>
        </w:rPr>
        <w:t>）在深圳和西南地区的网络设备备品备件库地址、规模的证明材料。</w:t>
      </w:r>
    </w:p>
    <w:p w14:paraId="5541D80C">
      <w:pPr>
        <w:spacing w:line="360" w:lineRule="auto"/>
        <w:ind w:firstLine="480" w:firstLineChars="200"/>
        <w:rPr>
          <w:rFonts w:hint="eastAsia" w:asciiTheme="minorEastAsia" w:hAnsiTheme="minorEastAsia" w:eastAsiaTheme="minorEastAsia"/>
          <w:szCs w:val="24"/>
        </w:rPr>
      </w:pPr>
      <w:r>
        <w:rPr>
          <w:rFonts w:hint="eastAsia" w:asciiTheme="minorEastAsia" w:hAnsiTheme="minorEastAsia" w:eastAsiaTheme="minorEastAsia"/>
          <w:szCs w:val="24"/>
        </w:rPr>
        <w:t>（</w:t>
      </w:r>
      <w:r>
        <w:rPr>
          <w:rFonts w:asciiTheme="minorEastAsia" w:hAnsiTheme="minorEastAsia" w:eastAsiaTheme="minorEastAsia"/>
          <w:szCs w:val="24"/>
        </w:rPr>
        <w:t>7</w:t>
      </w:r>
      <w:r>
        <w:rPr>
          <w:rFonts w:hint="eastAsia" w:asciiTheme="minorEastAsia" w:hAnsiTheme="minorEastAsia" w:eastAsiaTheme="minorEastAsia"/>
          <w:szCs w:val="24"/>
        </w:rPr>
        <w:t>）售后服务说明，包括服务联系方式、服务流程、当地联系人及联系方式、巡检模板、原厂证明等。</w:t>
      </w:r>
    </w:p>
    <w:p w14:paraId="5A0A198D">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投标报价文件</w:t>
      </w:r>
      <w:bookmarkEnd w:id="30"/>
      <w:bookmarkEnd w:id="31"/>
      <w:bookmarkEnd w:id="32"/>
    </w:p>
    <w:p w14:paraId="50832437">
      <w:pPr>
        <w:spacing w:line="360" w:lineRule="auto"/>
        <w:ind w:firstLine="410" w:firstLineChars="171"/>
        <w:rPr>
          <w:rFonts w:hint="eastAsia" w:ascii="宋体" w:hAnsi="宋体"/>
          <w:szCs w:val="24"/>
        </w:rPr>
      </w:pPr>
      <w:bookmarkStart w:id="33" w:name="_Toc364261855"/>
      <w:bookmarkStart w:id="34" w:name="_Toc364261132"/>
      <w:bookmarkStart w:id="35" w:name="_Toc451523654"/>
      <w:r>
        <w:rPr>
          <w:rFonts w:hint="eastAsia" w:asciiTheme="majorEastAsia" w:hAnsiTheme="majorEastAsia" w:eastAsiaTheme="majorEastAsia"/>
          <w:szCs w:val="24"/>
          <w:lang w:eastAsia="zh-CN"/>
        </w:rPr>
        <w:t>IDC新一代网络升级项目三期</w:t>
      </w:r>
      <w:r>
        <w:rPr>
          <w:rFonts w:hint="eastAsia" w:asciiTheme="majorEastAsia" w:hAnsiTheme="majorEastAsia" w:eastAsiaTheme="majorEastAsia"/>
          <w:szCs w:val="24"/>
        </w:rPr>
        <w:t>产品报价清单</w:t>
      </w:r>
      <w:r>
        <w:rPr>
          <w:rFonts w:hint="eastAsia" w:ascii="宋体" w:hAnsi="宋体"/>
          <w:szCs w:val="24"/>
        </w:rPr>
        <w:t>（附件1）</w:t>
      </w:r>
    </w:p>
    <w:p w14:paraId="521144B2">
      <w:pPr>
        <w:pStyle w:val="5"/>
        <w:numPr>
          <w:ilvl w:val="1"/>
          <w:numId w:val="1"/>
        </w:num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电子版投标文件</w:t>
      </w:r>
      <w:bookmarkEnd w:id="33"/>
      <w:bookmarkEnd w:id="34"/>
      <w:bookmarkEnd w:id="35"/>
      <w:r>
        <w:rPr>
          <w:rFonts w:hint="eastAsia" w:asciiTheme="minorEastAsia" w:hAnsiTheme="minorEastAsia" w:eastAsiaTheme="minorEastAsia"/>
          <w:sz w:val="24"/>
          <w:szCs w:val="24"/>
        </w:rPr>
        <w:t>（U盘）</w:t>
      </w:r>
    </w:p>
    <w:p w14:paraId="7B853E05">
      <w:pPr>
        <w:pStyle w:val="4"/>
        <w:numPr>
          <w:ilvl w:val="0"/>
          <w:numId w:val="1"/>
        </w:numPr>
        <w:spacing w:line="360" w:lineRule="auto"/>
        <w:rPr>
          <w:rFonts w:hint="eastAsia" w:ascii="宋体" w:hAnsi="宋体"/>
          <w:sz w:val="24"/>
          <w:szCs w:val="24"/>
        </w:rPr>
      </w:pPr>
      <w:bookmarkStart w:id="36" w:name="_Toc196135363"/>
      <w:r>
        <w:rPr>
          <w:rFonts w:hint="eastAsia" w:ascii="宋体" w:hAnsi="宋体"/>
          <w:sz w:val="24"/>
          <w:szCs w:val="24"/>
        </w:rPr>
        <w:t>附件</w:t>
      </w:r>
      <w:bookmarkEnd w:id="36"/>
    </w:p>
    <w:p w14:paraId="41A95275">
      <w:pPr>
        <w:pStyle w:val="5"/>
        <w:ind w:firstLine="482"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附件：1.</w:t>
      </w:r>
      <w:r>
        <w:rPr>
          <w:rFonts w:hint="eastAsia" w:asciiTheme="majorEastAsia" w:hAnsiTheme="majorEastAsia" w:eastAsiaTheme="majorEastAsia"/>
          <w:sz w:val="24"/>
          <w:szCs w:val="24"/>
          <w:lang w:eastAsia="zh-CN"/>
        </w:rPr>
        <w:t>IDC新一代网络升级项目三期</w:t>
      </w:r>
      <w:r>
        <w:rPr>
          <w:rFonts w:hint="eastAsia" w:asciiTheme="majorEastAsia" w:hAnsiTheme="majorEastAsia" w:eastAsiaTheme="majorEastAsia"/>
          <w:sz w:val="24"/>
          <w:szCs w:val="24"/>
        </w:rPr>
        <w:t>采购报价清单</w:t>
      </w:r>
    </w:p>
    <w:p w14:paraId="33CCF114">
      <w:pPr>
        <w:rPr>
          <w:rFonts w:hint="eastAsia"/>
        </w:rPr>
      </w:pPr>
      <w:r>
        <w:rPr>
          <w:rFonts w:hint="eastAsia"/>
        </w:rPr>
        <w:t xml:space="preserve">           </w:t>
      </w:r>
      <w:r>
        <w:object>
          <v:shape id="_x0000_i1025" o:spt="75" type="#_x0000_t75" style="height:52.8pt;width:76.2pt;" o:ole="t" filled="f" coordsize="21600,21600">
            <v:path/>
            <v:fill on="f" focussize="0,0"/>
            <v:stroke/>
            <v:imagedata r:id="rId23" o:title=""/>
            <o:lock v:ext="edit" aspectratio="t"/>
            <w10:wrap type="none"/>
            <w10:anchorlock/>
          </v:shape>
          <o:OLEObject Type="Embed" ProgID="Excel.Sheet.12" ShapeID="_x0000_i1025" DrawAspect="Icon" ObjectID="_1468075725" r:id="rId22">
            <o:LockedField>false</o:LockedField>
          </o:OLEObject>
        </w:object>
      </w:r>
    </w:p>
    <w:p w14:paraId="17CD2A19">
      <w:pPr>
        <w:pStyle w:val="5"/>
        <w:tabs>
          <w:tab w:val="left" w:pos="6379"/>
        </w:tabs>
        <w:ind w:firstLine="1205" w:firstLineChars="500"/>
        <w:rPr>
          <w:rFonts w:asciiTheme="majorEastAsia" w:hAnsiTheme="majorEastAsia" w:eastAsiaTheme="majorEastAsia"/>
          <w:sz w:val="24"/>
          <w:szCs w:val="24"/>
        </w:rPr>
      </w:pPr>
      <w:bookmarkStart w:id="37" w:name="_Toc524615814"/>
      <w:r>
        <w:rPr>
          <w:rFonts w:asciiTheme="majorEastAsia" w:hAnsiTheme="majorEastAsia" w:eastAsiaTheme="majorEastAsia"/>
          <w:sz w:val="24"/>
          <w:szCs w:val="24"/>
        </w:rPr>
        <w:t>2</w:t>
      </w:r>
      <w:r>
        <w:rPr>
          <w:rFonts w:hint="eastAsia" w:asciiTheme="majorEastAsia" w:hAnsiTheme="majorEastAsia" w:eastAsiaTheme="majorEastAsia"/>
          <w:sz w:val="24"/>
          <w:szCs w:val="24"/>
        </w:rPr>
        <w:t>.</w:t>
      </w:r>
      <w:r>
        <w:rPr>
          <w:rFonts w:hint="eastAsia" w:asciiTheme="majorEastAsia" w:hAnsiTheme="majorEastAsia" w:eastAsiaTheme="majorEastAsia"/>
          <w:sz w:val="24"/>
          <w:szCs w:val="24"/>
          <w:lang w:eastAsia="zh-CN"/>
        </w:rPr>
        <w:t>IDC新一代网络升级项目三期</w:t>
      </w:r>
      <w:r>
        <w:rPr>
          <w:rFonts w:hint="eastAsia" w:asciiTheme="majorEastAsia" w:hAnsiTheme="majorEastAsia" w:eastAsiaTheme="majorEastAsia"/>
          <w:sz w:val="24"/>
          <w:szCs w:val="24"/>
        </w:rPr>
        <w:t>采购技术偏离表</w:t>
      </w:r>
    </w:p>
    <w:p w14:paraId="0F7DB269">
      <w:pPr>
        <w:rPr>
          <w:rFonts w:hint="eastAsia"/>
        </w:rPr>
      </w:pPr>
      <w:r>
        <w:rPr>
          <w:rFonts w:hint="eastAsia"/>
        </w:rPr>
        <w:t xml:space="preserve">           </w:t>
      </w:r>
      <w:bookmarkStart w:id="38" w:name="_MON_1813412097"/>
      <w:bookmarkEnd w:id="38"/>
      <w:r>
        <w:object>
          <v:shape id="_x0000_i1026" o:spt="75" type="#_x0000_t75" style="height:52.8pt;width:76.2pt;" o:ole="t" filled="f" coordsize="21600,21600">
            <v:path/>
            <v:fill on="f" focussize="0,0"/>
            <v:stroke/>
            <v:imagedata r:id="rId25" o:title=""/>
            <o:lock v:ext="edit" aspectratio="t"/>
            <w10:wrap type="none"/>
            <w10:anchorlock/>
          </v:shape>
          <o:OLEObject Type="Embed" ProgID="Excel.Sheet.12" ShapeID="_x0000_i1026" DrawAspect="Icon" ObjectID="_1468075726" r:id="rId24">
            <o:LockedField>false</o:LockedField>
          </o:OLEObject>
        </w:object>
      </w:r>
    </w:p>
    <w:p w14:paraId="34D4C185">
      <w:pPr>
        <w:pStyle w:val="5"/>
        <w:ind w:firstLine="1205" w:firstLineChars="500"/>
        <w:rPr>
          <w:rFonts w:asciiTheme="majorEastAsia" w:hAnsiTheme="majorEastAsia" w:eastAsiaTheme="majorEastAsia"/>
          <w:sz w:val="24"/>
          <w:szCs w:val="24"/>
        </w:rPr>
      </w:pPr>
      <w:r>
        <w:rPr>
          <w:rFonts w:asciiTheme="majorEastAsia" w:hAnsiTheme="majorEastAsia" w:eastAsiaTheme="majorEastAsia"/>
          <w:sz w:val="24"/>
          <w:szCs w:val="24"/>
        </w:rPr>
        <w:t>3</w:t>
      </w:r>
      <w:r>
        <w:rPr>
          <w:rFonts w:hint="eastAsia" w:asciiTheme="majorEastAsia" w:hAnsiTheme="majorEastAsia" w:eastAsiaTheme="majorEastAsia"/>
          <w:sz w:val="24"/>
          <w:szCs w:val="24"/>
        </w:rPr>
        <w:t>.法定代表人身份证明书</w:t>
      </w:r>
      <w:bookmarkStart w:id="39" w:name="_MON_1600515257"/>
      <w:bookmarkEnd w:id="39"/>
      <w:bookmarkStart w:id="40" w:name="_MON_1668597175"/>
      <w:bookmarkEnd w:id="40"/>
      <w:bookmarkStart w:id="41" w:name="_MON_1637419758"/>
      <w:bookmarkEnd w:id="41"/>
      <w:bookmarkStart w:id="42" w:name="_MON_1638269203"/>
      <w:bookmarkEnd w:id="42"/>
    </w:p>
    <w:p w14:paraId="73E0F379">
      <w:pPr>
        <w:rPr>
          <w:rFonts w:hint="eastAsia"/>
        </w:rPr>
      </w:pPr>
      <w:r>
        <w:rPr>
          <w:rFonts w:hint="eastAsia"/>
        </w:rPr>
        <w:t xml:space="preserve">           </w:t>
      </w:r>
      <w:bookmarkStart w:id="43" w:name="_MON_1813411970"/>
      <w:bookmarkEnd w:id="43"/>
      <w:r>
        <w:object>
          <v:shape id="_x0000_i1027" o:spt="75" type="#_x0000_t75" style="height:52.8pt;width:76.2pt;" o:ole="t" filled="f" coordsize="21600,21600">
            <v:path/>
            <v:fill on="f" focussize="0,0"/>
            <v:stroke/>
            <v:imagedata r:id="rId27" o:title=""/>
            <o:lock v:ext="edit" aspectratio="t"/>
            <w10:wrap type="none"/>
            <w10:anchorlock/>
          </v:shape>
          <o:OLEObject Type="Embed" ProgID="Word.Document.12" ShapeID="_x0000_i1027" DrawAspect="Icon" ObjectID="_1468075727" r:id="rId26">
            <o:LockedField>false</o:LockedField>
          </o:OLEObject>
        </w:object>
      </w:r>
    </w:p>
    <w:p w14:paraId="6110ED3F">
      <w:pPr>
        <w:pStyle w:val="5"/>
        <w:ind w:firstLine="1205" w:firstLineChars="500"/>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.法定代表人授权委托书</w:t>
      </w:r>
    </w:p>
    <w:p w14:paraId="385DE014">
      <w:pPr>
        <w:rPr>
          <w:rFonts w:hint="eastAsia"/>
        </w:rPr>
      </w:pPr>
      <w:r>
        <w:rPr>
          <w:rFonts w:hint="eastAsia"/>
        </w:rPr>
        <w:t xml:space="preserve">            </w:t>
      </w:r>
      <w:bookmarkStart w:id="44" w:name="_MON_1813411953"/>
      <w:bookmarkEnd w:id="44"/>
      <w:r>
        <w:object>
          <v:shape id="_x0000_i1028" o:spt="75" type="#_x0000_t75" style="height:52.8pt;width:76.2pt;" o:ole="t" filled="f" coordsize="21600,21600">
            <v:path/>
            <v:fill on="f" focussize="0,0"/>
            <v:stroke/>
            <v:imagedata r:id="rId29" o:title=""/>
            <o:lock v:ext="edit" aspectratio="t"/>
            <w10:wrap type="none"/>
            <w10:anchorlock/>
          </v:shape>
          <o:OLEObject Type="Embed" ProgID="Word.Document.12" ShapeID="_x0000_i1028" DrawAspect="Icon" ObjectID="_1468075728" r:id="rId28">
            <o:LockedField>false</o:LockedField>
          </o:OLEObject>
        </w:object>
      </w:r>
    </w:p>
    <w:p w14:paraId="616A733C">
      <w:pPr>
        <w:pStyle w:val="5"/>
        <w:ind w:firstLine="1205" w:firstLineChars="500"/>
        <w:rPr>
          <w:rFonts w:hint="default" w:asciiTheme="majorEastAsia" w:hAnsiTheme="majorEastAsia" w:eastAsiaTheme="majorEastAsia"/>
          <w:sz w:val="24"/>
          <w:szCs w:val="24"/>
          <w:lang w:val="en-US" w:eastAsia="zh-CN"/>
        </w:rPr>
      </w:pPr>
      <w:bookmarkStart w:id="45" w:name="_MON_1668597217"/>
      <w:bookmarkEnd w:id="45"/>
      <w:bookmarkStart w:id="46" w:name="_MON_1637419768"/>
      <w:bookmarkEnd w:id="46"/>
      <w:bookmarkStart w:id="47" w:name="_MON_1638269230"/>
      <w:bookmarkEnd w:id="47"/>
      <w:bookmarkStart w:id="48" w:name="_MON_1600515301"/>
      <w:bookmarkEnd w:id="48"/>
      <w:r>
        <w:rPr>
          <w:rFonts w:hint="eastAsia" w:asciiTheme="majorEastAsia" w:hAnsiTheme="majorEastAsia" w:eastAsiaTheme="majorEastAsia"/>
          <w:sz w:val="24"/>
          <w:szCs w:val="24"/>
          <w:lang w:val="en-US" w:eastAsia="zh-CN"/>
        </w:rPr>
        <w:t>5.廉洁协议书</w:t>
      </w:r>
    </w:p>
    <w:p w14:paraId="4BD3AD79">
      <w:pPr>
        <w:rPr>
          <w:rFonts w:hint="default" w:eastAsia="宋体"/>
          <w:lang w:val="en-US" w:eastAsia="zh-CN"/>
        </w:rPr>
      </w:pPr>
      <w:r>
        <w:rPr>
          <w:rFonts w:hint="eastAsia"/>
          <w:lang w:val="en-US" w:eastAsia="zh-CN"/>
        </w:rPr>
        <w:t xml:space="preserve">             </w:t>
      </w:r>
      <w:r>
        <w:rPr>
          <w:rFonts w:hint="eastAsia"/>
          <w:lang w:val="en-US" w:eastAsia="zh-CN"/>
        </w:rPr>
        <w:object>
          <v:shape id="_x0000_i1029" o:spt="75" type="#_x0000_t75" style="height:65.4pt;width:72.6pt;" o:ole="t" filled="f" o:preferrelative="t" stroked="f" coordsize="21600,21600">
            <v:path/>
            <v:fill on="f" focussize="0,0"/>
            <v:stroke on="f"/>
            <v:imagedata r:id="rId31" o:title=""/>
            <o:lock v:ext="edit" aspectratio="t"/>
            <w10:wrap type="none"/>
            <w10:anchorlock/>
          </v:shape>
          <o:OLEObject Type="Embed" ProgID="Word.Document.12" ShapeID="_x0000_i1029" DrawAspect="Icon" ObjectID="_1468075729" r:id="rId30">
            <o:LockedField>false</o:LockedField>
          </o:OLEObject>
        </w:object>
      </w:r>
    </w:p>
    <w:p w14:paraId="12B2CB49"/>
    <w:p w14:paraId="702D5834"/>
    <w:p w14:paraId="169DB4EF"/>
    <w:bookmarkEnd w:id="37"/>
    <w:p w14:paraId="3B32F9FC">
      <w:pPr>
        <w:spacing w:line="360" w:lineRule="auto"/>
        <w:jc w:val="right"/>
        <w:rPr>
          <w:rFonts w:hint="eastAsia" w:asciiTheme="minorEastAsia" w:hAnsiTheme="minorEastAsia" w:eastAsiaTheme="minorEastAsia"/>
          <w:szCs w:val="24"/>
        </w:rPr>
      </w:pPr>
      <w:r>
        <w:rPr>
          <w:rFonts w:hint="eastAsia" w:asciiTheme="minorEastAsia" w:hAnsiTheme="minorEastAsia" w:eastAsiaTheme="minorEastAsia"/>
          <w:szCs w:val="24"/>
        </w:rPr>
        <w:t>中天国富证券有限公司</w:t>
      </w:r>
    </w:p>
    <w:p w14:paraId="2DAD0520">
      <w:pPr>
        <w:spacing w:line="360" w:lineRule="auto"/>
        <w:jc w:val="right"/>
        <w:rPr>
          <w:rFonts w:hint="eastAsia" w:asciiTheme="minorEastAsia" w:hAnsiTheme="minorEastAsia" w:eastAsiaTheme="minorEastAsia"/>
          <w:szCs w:val="24"/>
        </w:rPr>
      </w:pPr>
      <w:r>
        <w:rPr>
          <w:rFonts w:asciiTheme="minorEastAsia" w:hAnsiTheme="minorEastAsia" w:eastAsiaTheme="minorEastAsia"/>
          <w:szCs w:val="24"/>
        </w:rPr>
        <w:t xml:space="preserve">       202</w:t>
      </w:r>
      <w:r>
        <w:rPr>
          <w:rFonts w:hint="eastAsia" w:asciiTheme="minorEastAsia" w:hAnsiTheme="minorEastAsia" w:eastAsiaTheme="minorEastAsia"/>
          <w:szCs w:val="24"/>
        </w:rPr>
        <w:t>5年7月7 日</w:t>
      </w:r>
    </w:p>
    <w:sectPr>
      <w:headerReference r:id="rId3" w:type="default"/>
      <w:footerReference r:id="rId4" w:type="default"/>
      <w:pgSz w:w="11906" w:h="16838"/>
      <w:pgMar w:top="1440" w:right="1800" w:bottom="1440" w:left="1800" w:header="851" w:footer="992" w:gutter="0"/>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Noto Sans CJK JP Regular">
    <w:altName w:val="Segoe Print"/>
    <w:panose1 w:val="00000000000000000000"/>
    <w:charset w:val="00"/>
    <w:family w:val="swiss"/>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roma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24785">
    <w:pPr>
      <w:pStyle w:val="13"/>
      <w:jc w:val="center"/>
    </w:pPr>
    <w:r>
      <w:rPr>
        <w:rFonts w:hint="eastAsia"/>
      </w:rPr>
      <w:t>第</w:t>
    </w:r>
    <w:r>
      <w:fldChar w:fldCharType="begin"/>
    </w:r>
    <w:r>
      <w:instrText xml:space="preserve">PAGE   \* MERGEFORMAT</w:instrText>
    </w:r>
    <w:r>
      <w:fldChar w:fldCharType="separate"/>
    </w:r>
    <w:r>
      <w:rPr>
        <w:lang w:val="zh-CN"/>
      </w:rPr>
      <w:t>5</w:t>
    </w:r>
    <w:r>
      <w:fldChar w:fldCharType="end"/>
    </w:r>
    <w:r>
      <w:rPr>
        <w:rFonts w:hint="eastAsia"/>
      </w:rPr>
      <w:t>页  共</w:t>
    </w:r>
    <w:r>
      <w:rPr>
        <w:rStyle w:val="22"/>
      </w:rPr>
      <w:fldChar w:fldCharType="begin"/>
    </w:r>
    <w:r>
      <w:rPr>
        <w:rStyle w:val="22"/>
      </w:rPr>
      <w:instrText xml:space="preserve"> NUMPAGES </w:instrText>
    </w:r>
    <w:r>
      <w:rPr>
        <w:rStyle w:val="22"/>
      </w:rPr>
      <w:fldChar w:fldCharType="separate"/>
    </w:r>
    <w:r>
      <w:rPr>
        <w:rStyle w:val="22"/>
      </w:rPr>
      <w:t>20</w:t>
    </w:r>
    <w:r>
      <w:rPr>
        <w:rStyle w:val="22"/>
      </w:rPr>
      <w:fldChar w:fldCharType="end"/>
    </w:r>
    <w:r>
      <w:rPr>
        <w:rFonts w:hint="eastAsia"/>
      </w:rPr>
      <w:t>页</w:t>
    </w:r>
  </w:p>
  <w:p w14:paraId="588EA43D">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C6A6B">
    <w:pPr>
      <w:pStyle w:val="14"/>
      <w:pBdr>
        <w:bottom w:val="single" w:color="auto" w:sz="6"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4CF696"/>
    <w:multiLevelType w:val="singleLevel"/>
    <w:tmpl w:val="384CF696"/>
    <w:lvl w:ilvl="0" w:tentative="0">
      <w:start w:val="1"/>
      <w:numFmt w:val="decimalEnclosedCircleChinese"/>
      <w:suff w:val="nothing"/>
      <w:lvlText w:val="%1　"/>
      <w:lvlJc w:val="left"/>
      <w:pPr>
        <w:ind w:left="0" w:firstLine="400"/>
      </w:pPr>
      <w:rPr>
        <w:rFonts w:hint="eastAsia"/>
      </w:rPr>
    </w:lvl>
  </w:abstractNum>
  <w:abstractNum w:abstractNumId="1">
    <w:nsid w:val="4BAC5C9F"/>
    <w:multiLevelType w:val="multilevel"/>
    <w:tmpl w:val="4BAC5C9F"/>
    <w:lvl w:ilvl="0" w:tentative="0">
      <w:start w:val="1"/>
      <w:numFmt w:val="decimal"/>
      <w:lvlText w:val="%1."/>
      <w:lvlJc w:val="left"/>
      <w:pPr>
        <w:ind w:left="845" w:hanging="425"/>
      </w:pPr>
      <w:rPr>
        <w:rFonts w:asciiTheme="minorEastAsia" w:hAnsiTheme="minorEastAsia" w:eastAsiaTheme="minorEastAsia"/>
        <w:sz w:val="30"/>
        <w:szCs w:val="30"/>
      </w:rPr>
    </w:lvl>
    <w:lvl w:ilvl="1" w:tentative="0">
      <w:start w:val="1"/>
      <w:numFmt w:val="decimal"/>
      <w:lvlText w:val="%1.%2."/>
      <w:lvlJc w:val="left"/>
      <w:pPr>
        <w:ind w:left="987" w:hanging="567"/>
      </w:pPr>
      <w:rPr>
        <w:sz w:val="30"/>
        <w:szCs w:val="30"/>
      </w:rPr>
    </w:lvl>
    <w:lvl w:ilvl="2" w:tentative="0">
      <w:start w:val="1"/>
      <w:numFmt w:val="decimal"/>
      <w:lvlText w:val="%1.%2.%3."/>
      <w:lvlJc w:val="left"/>
      <w:pPr>
        <w:ind w:left="1129" w:hanging="709"/>
      </w:pPr>
    </w:lvl>
    <w:lvl w:ilvl="3" w:tentative="0">
      <w:start w:val="1"/>
      <w:numFmt w:val="decimal"/>
      <w:lvlText w:val="%1.%2.%3.%4."/>
      <w:lvlJc w:val="left"/>
      <w:pPr>
        <w:ind w:left="1271" w:hanging="851"/>
      </w:pPr>
    </w:lvl>
    <w:lvl w:ilvl="4" w:tentative="0">
      <w:start w:val="1"/>
      <w:numFmt w:val="decimal"/>
      <w:lvlText w:val="%1.%2.%3.%4.%5."/>
      <w:lvlJc w:val="left"/>
      <w:pPr>
        <w:ind w:left="1412" w:hanging="992"/>
      </w:pPr>
    </w:lvl>
    <w:lvl w:ilvl="5" w:tentative="0">
      <w:start w:val="1"/>
      <w:numFmt w:val="decimal"/>
      <w:lvlText w:val="%1.%2.%3.%4.%5.%6."/>
      <w:lvlJc w:val="left"/>
      <w:pPr>
        <w:ind w:left="1554" w:hanging="1134"/>
      </w:pPr>
    </w:lvl>
    <w:lvl w:ilvl="6" w:tentative="0">
      <w:start w:val="1"/>
      <w:numFmt w:val="decimal"/>
      <w:lvlText w:val="%1.%2.%3.%4.%5.%6.%7."/>
      <w:lvlJc w:val="left"/>
      <w:pPr>
        <w:ind w:left="1696" w:hanging="1276"/>
      </w:pPr>
    </w:lvl>
    <w:lvl w:ilvl="7" w:tentative="0">
      <w:start w:val="1"/>
      <w:numFmt w:val="decimal"/>
      <w:lvlText w:val="%1.%2.%3.%4.%5.%6.%7.%8."/>
      <w:lvlJc w:val="left"/>
      <w:pPr>
        <w:ind w:left="1838" w:hanging="1418"/>
      </w:pPr>
    </w:lvl>
    <w:lvl w:ilvl="8" w:tentative="0">
      <w:start w:val="1"/>
      <w:numFmt w:val="decimal"/>
      <w:lvlText w:val="%1.%2.%3.%4.%5.%6.%7.%8.%9."/>
      <w:lvlJc w:val="left"/>
      <w:pPr>
        <w:ind w:left="197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0NWIxNjMyMTAyMWUyMDdlZDVmZDEzZTFiZWUxYjEifQ=="/>
  </w:docVars>
  <w:rsids>
    <w:rsidRoot w:val="00AE30EF"/>
    <w:rsid w:val="000045DB"/>
    <w:rsid w:val="00004D24"/>
    <w:rsid w:val="0000732A"/>
    <w:rsid w:val="00007C6A"/>
    <w:rsid w:val="00011CEB"/>
    <w:rsid w:val="00022FDA"/>
    <w:rsid w:val="000237D7"/>
    <w:rsid w:val="00023AFD"/>
    <w:rsid w:val="00024334"/>
    <w:rsid w:val="000273DF"/>
    <w:rsid w:val="00032321"/>
    <w:rsid w:val="000323B3"/>
    <w:rsid w:val="00033D77"/>
    <w:rsid w:val="00036415"/>
    <w:rsid w:val="000376F2"/>
    <w:rsid w:val="00037CA3"/>
    <w:rsid w:val="00044ADB"/>
    <w:rsid w:val="00050908"/>
    <w:rsid w:val="00061B4C"/>
    <w:rsid w:val="0006206C"/>
    <w:rsid w:val="00062098"/>
    <w:rsid w:val="00062C55"/>
    <w:rsid w:val="00067FB4"/>
    <w:rsid w:val="000707C9"/>
    <w:rsid w:val="00073E7B"/>
    <w:rsid w:val="000742C9"/>
    <w:rsid w:val="000755A5"/>
    <w:rsid w:val="000776AF"/>
    <w:rsid w:val="0008079F"/>
    <w:rsid w:val="00081BFC"/>
    <w:rsid w:val="00082636"/>
    <w:rsid w:val="0008319A"/>
    <w:rsid w:val="00084151"/>
    <w:rsid w:val="00090119"/>
    <w:rsid w:val="00090793"/>
    <w:rsid w:val="0009134B"/>
    <w:rsid w:val="00093C34"/>
    <w:rsid w:val="00097C47"/>
    <w:rsid w:val="000A1629"/>
    <w:rsid w:val="000A5C04"/>
    <w:rsid w:val="000A6917"/>
    <w:rsid w:val="000A7162"/>
    <w:rsid w:val="000A760E"/>
    <w:rsid w:val="000B0ED4"/>
    <w:rsid w:val="000B1256"/>
    <w:rsid w:val="000B20F6"/>
    <w:rsid w:val="000B441A"/>
    <w:rsid w:val="000B51E7"/>
    <w:rsid w:val="000B580A"/>
    <w:rsid w:val="000B7EB4"/>
    <w:rsid w:val="000C08C6"/>
    <w:rsid w:val="000C0FE4"/>
    <w:rsid w:val="000C1F91"/>
    <w:rsid w:val="000C2BE1"/>
    <w:rsid w:val="000C30D8"/>
    <w:rsid w:val="000C3C54"/>
    <w:rsid w:val="000C4787"/>
    <w:rsid w:val="000C5F9B"/>
    <w:rsid w:val="000C6FA9"/>
    <w:rsid w:val="000D063B"/>
    <w:rsid w:val="000D0C8F"/>
    <w:rsid w:val="000D2228"/>
    <w:rsid w:val="000D6B7A"/>
    <w:rsid w:val="000E2E1F"/>
    <w:rsid w:val="000E2E4B"/>
    <w:rsid w:val="000E4DB2"/>
    <w:rsid w:val="000F0833"/>
    <w:rsid w:val="000F093E"/>
    <w:rsid w:val="000F1675"/>
    <w:rsid w:val="000F37C9"/>
    <w:rsid w:val="000F7BAB"/>
    <w:rsid w:val="00101E2A"/>
    <w:rsid w:val="0010299F"/>
    <w:rsid w:val="00104315"/>
    <w:rsid w:val="00110156"/>
    <w:rsid w:val="00110848"/>
    <w:rsid w:val="00110BC4"/>
    <w:rsid w:val="00112021"/>
    <w:rsid w:val="0011250D"/>
    <w:rsid w:val="00114E4F"/>
    <w:rsid w:val="001157BC"/>
    <w:rsid w:val="00122592"/>
    <w:rsid w:val="00122EF5"/>
    <w:rsid w:val="00124259"/>
    <w:rsid w:val="001260FB"/>
    <w:rsid w:val="001263AD"/>
    <w:rsid w:val="00131006"/>
    <w:rsid w:val="0013102F"/>
    <w:rsid w:val="0013297A"/>
    <w:rsid w:val="0013410C"/>
    <w:rsid w:val="00134682"/>
    <w:rsid w:val="001401F6"/>
    <w:rsid w:val="001403B1"/>
    <w:rsid w:val="00141D96"/>
    <w:rsid w:val="00142184"/>
    <w:rsid w:val="001453C9"/>
    <w:rsid w:val="00146998"/>
    <w:rsid w:val="00146CBF"/>
    <w:rsid w:val="00147910"/>
    <w:rsid w:val="0015252F"/>
    <w:rsid w:val="00153098"/>
    <w:rsid w:val="001537B7"/>
    <w:rsid w:val="00160086"/>
    <w:rsid w:val="00160400"/>
    <w:rsid w:val="00160A94"/>
    <w:rsid w:val="0016475C"/>
    <w:rsid w:val="001674FE"/>
    <w:rsid w:val="00167BA7"/>
    <w:rsid w:val="001710EA"/>
    <w:rsid w:val="001716C1"/>
    <w:rsid w:val="00171BB5"/>
    <w:rsid w:val="00171C72"/>
    <w:rsid w:val="001734A6"/>
    <w:rsid w:val="001764B6"/>
    <w:rsid w:val="00176731"/>
    <w:rsid w:val="001800D8"/>
    <w:rsid w:val="001816A4"/>
    <w:rsid w:val="00182C60"/>
    <w:rsid w:val="001849FF"/>
    <w:rsid w:val="0018515B"/>
    <w:rsid w:val="00187231"/>
    <w:rsid w:val="001951E9"/>
    <w:rsid w:val="001959CE"/>
    <w:rsid w:val="0019671E"/>
    <w:rsid w:val="0019676A"/>
    <w:rsid w:val="001A0F1C"/>
    <w:rsid w:val="001A1FD6"/>
    <w:rsid w:val="001A41B7"/>
    <w:rsid w:val="001A519E"/>
    <w:rsid w:val="001A527B"/>
    <w:rsid w:val="001A6216"/>
    <w:rsid w:val="001A7F10"/>
    <w:rsid w:val="001B4110"/>
    <w:rsid w:val="001B6A36"/>
    <w:rsid w:val="001B78F8"/>
    <w:rsid w:val="001C1CEE"/>
    <w:rsid w:val="001C3746"/>
    <w:rsid w:val="001C63AD"/>
    <w:rsid w:val="001D0025"/>
    <w:rsid w:val="001D2311"/>
    <w:rsid w:val="001D39AA"/>
    <w:rsid w:val="001D3E90"/>
    <w:rsid w:val="001D42C3"/>
    <w:rsid w:val="001E1955"/>
    <w:rsid w:val="001E21ED"/>
    <w:rsid w:val="001E3191"/>
    <w:rsid w:val="001E4276"/>
    <w:rsid w:val="001E5657"/>
    <w:rsid w:val="001F3562"/>
    <w:rsid w:val="002032F3"/>
    <w:rsid w:val="002047CE"/>
    <w:rsid w:val="0020498D"/>
    <w:rsid w:val="00205F66"/>
    <w:rsid w:val="0020655E"/>
    <w:rsid w:val="00206827"/>
    <w:rsid w:val="002116D2"/>
    <w:rsid w:val="00212AC7"/>
    <w:rsid w:val="002135E7"/>
    <w:rsid w:val="00213A43"/>
    <w:rsid w:val="00222ABC"/>
    <w:rsid w:val="00227093"/>
    <w:rsid w:val="00230FFE"/>
    <w:rsid w:val="00231135"/>
    <w:rsid w:val="002319B6"/>
    <w:rsid w:val="00231EE5"/>
    <w:rsid w:val="0023326D"/>
    <w:rsid w:val="00233D98"/>
    <w:rsid w:val="002372AE"/>
    <w:rsid w:val="00237881"/>
    <w:rsid w:val="00237A28"/>
    <w:rsid w:val="0024041B"/>
    <w:rsid w:val="00242082"/>
    <w:rsid w:val="002422A1"/>
    <w:rsid w:val="00245607"/>
    <w:rsid w:val="00250BA0"/>
    <w:rsid w:val="00256CA9"/>
    <w:rsid w:val="00260D3A"/>
    <w:rsid w:val="002614B6"/>
    <w:rsid w:val="002626FD"/>
    <w:rsid w:val="002643FC"/>
    <w:rsid w:val="00264BAE"/>
    <w:rsid w:val="0026546D"/>
    <w:rsid w:val="00265B45"/>
    <w:rsid w:val="00271180"/>
    <w:rsid w:val="002735F8"/>
    <w:rsid w:val="00274CF7"/>
    <w:rsid w:val="00281882"/>
    <w:rsid w:val="0028273B"/>
    <w:rsid w:val="002848EE"/>
    <w:rsid w:val="00285CCD"/>
    <w:rsid w:val="00286439"/>
    <w:rsid w:val="00286B8C"/>
    <w:rsid w:val="00294421"/>
    <w:rsid w:val="00297758"/>
    <w:rsid w:val="002A04A7"/>
    <w:rsid w:val="002A1F7E"/>
    <w:rsid w:val="002A242B"/>
    <w:rsid w:val="002A517D"/>
    <w:rsid w:val="002A7218"/>
    <w:rsid w:val="002A76AE"/>
    <w:rsid w:val="002A7A99"/>
    <w:rsid w:val="002A7B30"/>
    <w:rsid w:val="002B71AD"/>
    <w:rsid w:val="002B75C0"/>
    <w:rsid w:val="002C0601"/>
    <w:rsid w:val="002C3A12"/>
    <w:rsid w:val="002C3C49"/>
    <w:rsid w:val="002C3D3A"/>
    <w:rsid w:val="002C4C7B"/>
    <w:rsid w:val="002C57B6"/>
    <w:rsid w:val="002C7443"/>
    <w:rsid w:val="002C7917"/>
    <w:rsid w:val="002D13E9"/>
    <w:rsid w:val="002D4B4E"/>
    <w:rsid w:val="002D6E5D"/>
    <w:rsid w:val="002D757F"/>
    <w:rsid w:val="002E008B"/>
    <w:rsid w:val="002E15EB"/>
    <w:rsid w:val="002E2EE7"/>
    <w:rsid w:val="002E3132"/>
    <w:rsid w:val="002E362A"/>
    <w:rsid w:val="002F198B"/>
    <w:rsid w:val="002F3606"/>
    <w:rsid w:val="002F4380"/>
    <w:rsid w:val="002F52DE"/>
    <w:rsid w:val="002F5B24"/>
    <w:rsid w:val="002F6FB5"/>
    <w:rsid w:val="003008BE"/>
    <w:rsid w:val="00301B23"/>
    <w:rsid w:val="00306999"/>
    <w:rsid w:val="003105DF"/>
    <w:rsid w:val="003123E3"/>
    <w:rsid w:val="00314B68"/>
    <w:rsid w:val="00316706"/>
    <w:rsid w:val="00316890"/>
    <w:rsid w:val="00316EE2"/>
    <w:rsid w:val="00317C60"/>
    <w:rsid w:val="003226C8"/>
    <w:rsid w:val="00326C5A"/>
    <w:rsid w:val="00330DDE"/>
    <w:rsid w:val="003316D4"/>
    <w:rsid w:val="00331F54"/>
    <w:rsid w:val="00332E5D"/>
    <w:rsid w:val="0033372D"/>
    <w:rsid w:val="00333F2B"/>
    <w:rsid w:val="00334E25"/>
    <w:rsid w:val="00336700"/>
    <w:rsid w:val="00344522"/>
    <w:rsid w:val="00344CCD"/>
    <w:rsid w:val="003465C8"/>
    <w:rsid w:val="003474F0"/>
    <w:rsid w:val="00347E5D"/>
    <w:rsid w:val="00350B91"/>
    <w:rsid w:val="00350F5A"/>
    <w:rsid w:val="0035141B"/>
    <w:rsid w:val="00351C4C"/>
    <w:rsid w:val="0035329A"/>
    <w:rsid w:val="0036015A"/>
    <w:rsid w:val="00362C01"/>
    <w:rsid w:val="0036304B"/>
    <w:rsid w:val="003646E6"/>
    <w:rsid w:val="003659C2"/>
    <w:rsid w:val="00367942"/>
    <w:rsid w:val="00370E6E"/>
    <w:rsid w:val="00370F38"/>
    <w:rsid w:val="00373344"/>
    <w:rsid w:val="00375EAB"/>
    <w:rsid w:val="00376176"/>
    <w:rsid w:val="00377938"/>
    <w:rsid w:val="00377A37"/>
    <w:rsid w:val="00380559"/>
    <w:rsid w:val="003817EE"/>
    <w:rsid w:val="00382DFF"/>
    <w:rsid w:val="003834C2"/>
    <w:rsid w:val="00384CAD"/>
    <w:rsid w:val="00386B53"/>
    <w:rsid w:val="00387889"/>
    <w:rsid w:val="00387B40"/>
    <w:rsid w:val="00387BE8"/>
    <w:rsid w:val="00392C63"/>
    <w:rsid w:val="0039304B"/>
    <w:rsid w:val="00393F7D"/>
    <w:rsid w:val="00395B66"/>
    <w:rsid w:val="0039734C"/>
    <w:rsid w:val="0039754A"/>
    <w:rsid w:val="0039762D"/>
    <w:rsid w:val="003A0938"/>
    <w:rsid w:val="003A40A0"/>
    <w:rsid w:val="003A4354"/>
    <w:rsid w:val="003A7ADA"/>
    <w:rsid w:val="003A7B4B"/>
    <w:rsid w:val="003B0CC3"/>
    <w:rsid w:val="003B1E80"/>
    <w:rsid w:val="003B61C4"/>
    <w:rsid w:val="003B7702"/>
    <w:rsid w:val="003C3F17"/>
    <w:rsid w:val="003C5977"/>
    <w:rsid w:val="003D272F"/>
    <w:rsid w:val="003D4ED3"/>
    <w:rsid w:val="003D71A9"/>
    <w:rsid w:val="003E3098"/>
    <w:rsid w:val="003E4630"/>
    <w:rsid w:val="003E4F6B"/>
    <w:rsid w:val="003F2545"/>
    <w:rsid w:val="003F425E"/>
    <w:rsid w:val="003F532A"/>
    <w:rsid w:val="003F5886"/>
    <w:rsid w:val="003F64A9"/>
    <w:rsid w:val="00403C89"/>
    <w:rsid w:val="004049A3"/>
    <w:rsid w:val="00410AE0"/>
    <w:rsid w:val="00412243"/>
    <w:rsid w:val="004124A7"/>
    <w:rsid w:val="00413114"/>
    <w:rsid w:val="00414122"/>
    <w:rsid w:val="0041571C"/>
    <w:rsid w:val="00415929"/>
    <w:rsid w:val="004165F4"/>
    <w:rsid w:val="0042010E"/>
    <w:rsid w:val="004217BB"/>
    <w:rsid w:val="004224FD"/>
    <w:rsid w:val="00423B1E"/>
    <w:rsid w:val="004250E5"/>
    <w:rsid w:val="00427BCF"/>
    <w:rsid w:val="00430BC0"/>
    <w:rsid w:val="00431A17"/>
    <w:rsid w:val="00431CCC"/>
    <w:rsid w:val="004331F3"/>
    <w:rsid w:val="0044058B"/>
    <w:rsid w:val="0044067F"/>
    <w:rsid w:val="00440B68"/>
    <w:rsid w:val="00442099"/>
    <w:rsid w:val="0044595D"/>
    <w:rsid w:val="004529D6"/>
    <w:rsid w:val="00455EE9"/>
    <w:rsid w:val="0045706D"/>
    <w:rsid w:val="004575B2"/>
    <w:rsid w:val="0046146C"/>
    <w:rsid w:val="00462603"/>
    <w:rsid w:val="00464287"/>
    <w:rsid w:val="00466F4A"/>
    <w:rsid w:val="004672F9"/>
    <w:rsid w:val="00471AE5"/>
    <w:rsid w:val="0047286A"/>
    <w:rsid w:val="004768B9"/>
    <w:rsid w:val="00477C2F"/>
    <w:rsid w:val="00481AA1"/>
    <w:rsid w:val="00482B26"/>
    <w:rsid w:val="00487EBA"/>
    <w:rsid w:val="00490729"/>
    <w:rsid w:val="00491829"/>
    <w:rsid w:val="0049491A"/>
    <w:rsid w:val="0049589A"/>
    <w:rsid w:val="004A0583"/>
    <w:rsid w:val="004A15C4"/>
    <w:rsid w:val="004A1F78"/>
    <w:rsid w:val="004A34A5"/>
    <w:rsid w:val="004A7092"/>
    <w:rsid w:val="004B21D6"/>
    <w:rsid w:val="004B4129"/>
    <w:rsid w:val="004B4ACD"/>
    <w:rsid w:val="004B537C"/>
    <w:rsid w:val="004B5550"/>
    <w:rsid w:val="004C390F"/>
    <w:rsid w:val="004C514C"/>
    <w:rsid w:val="004C6CFE"/>
    <w:rsid w:val="004D1BDD"/>
    <w:rsid w:val="004D3ECD"/>
    <w:rsid w:val="004D48E0"/>
    <w:rsid w:val="004D74E3"/>
    <w:rsid w:val="004E37CD"/>
    <w:rsid w:val="004E4470"/>
    <w:rsid w:val="004E4A43"/>
    <w:rsid w:val="004F1541"/>
    <w:rsid w:val="004F2F69"/>
    <w:rsid w:val="004F45D8"/>
    <w:rsid w:val="004F55DA"/>
    <w:rsid w:val="004F626D"/>
    <w:rsid w:val="005019E5"/>
    <w:rsid w:val="00502A5F"/>
    <w:rsid w:val="00502C8A"/>
    <w:rsid w:val="005040D5"/>
    <w:rsid w:val="00505A14"/>
    <w:rsid w:val="00507819"/>
    <w:rsid w:val="005119D8"/>
    <w:rsid w:val="00512E6D"/>
    <w:rsid w:val="005169AF"/>
    <w:rsid w:val="005206A0"/>
    <w:rsid w:val="00521521"/>
    <w:rsid w:val="005215B2"/>
    <w:rsid w:val="005215DF"/>
    <w:rsid w:val="005216E4"/>
    <w:rsid w:val="00524253"/>
    <w:rsid w:val="005260BF"/>
    <w:rsid w:val="00526173"/>
    <w:rsid w:val="00526C9C"/>
    <w:rsid w:val="00526DDF"/>
    <w:rsid w:val="00530E37"/>
    <w:rsid w:val="0053274A"/>
    <w:rsid w:val="005353E6"/>
    <w:rsid w:val="00535ABB"/>
    <w:rsid w:val="00537EC0"/>
    <w:rsid w:val="005432F5"/>
    <w:rsid w:val="00545CEF"/>
    <w:rsid w:val="00550D4E"/>
    <w:rsid w:val="00550E00"/>
    <w:rsid w:val="0055193B"/>
    <w:rsid w:val="005539DA"/>
    <w:rsid w:val="00555275"/>
    <w:rsid w:val="00555721"/>
    <w:rsid w:val="00555A6A"/>
    <w:rsid w:val="0055636D"/>
    <w:rsid w:val="005602EE"/>
    <w:rsid w:val="0056238D"/>
    <w:rsid w:val="0056274C"/>
    <w:rsid w:val="00562D4C"/>
    <w:rsid w:val="00562F52"/>
    <w:rsid w:val="00563847"/>
    <w:rsid w:val="00572AF8"/>
    <w:rsid w:val="005772F0"/>
    <w:rsid w:val="005778F9"/>
    <w:rsid w:val="0058193B"/>
    <w:rsid w:val="00583A1A"/>
    <w:rsid w:val="005859D2"/>
    <w:rsid w:val="00587D8C"/>
    <w:rsid w:val="0059116F"/>
    <w:rsid w:val="00591170"/>
    <w:rsid w:val="0059120F"/>
    <w:rsid w:val="00593431"/>
    <w:rsid w:val="005A4EE1"/>
    <w:rsid w:val="005B14F7"/>
    <w:rsid w:val="005B1E13"/>
    <w:rsid w:val="005B3029"/>
    <w:rsid w:val="005B468C"/>
    <w:rsid w:val="005B6946"/>
    <w:rsid w:val="005C2127"/>
    <w:rsid w:val="005C3978"/>
    <w:rsid w:val="005C3B19"/>
    <w:rsid w:val="005C48F8"/>
    <w:rsid w:val="005C4A9D"/>
    <w:rsid w:val="005C64D4"/>
    <w:rsid w:val="005D1692"/>
    <w:rsid w:val="005D338B"/>
    <w:rsid w:val="005E4AB0"/>
    <w:rsid w:val="005E752D"/>
    <w:rsid w:val="005F186F"/>
    <w:rsid w:val="005F27B4"/>
    <w:rsid w:val="005F2C51"/>
    <w:rsid w:val="006036A2"/>
    <w:rsid w:val="006063BD"/>
    <w:rsid w:val="00606CDF"/>
    <w:rsid w:val="006115FF"/>
    <w:rsid w:val="00611993"/>
    <w:rsid w:val="00611A8F"/>
    <w:rsid w:val="00615323"/>
    <w:rsid w:val="00615A9E"/>
    <w:rsid w:val="00620A2C"/>
    <w:rsid w:val="00622C25"/>
    <w:rsid w:val="00622D51"/>
    <w:rsid w:val="00623B25"/>
    <w:rsid w:val="00625B54"/>
    <w:rsid w:val="00626179"/>
    <w:rsid w:val="00626FDB"/>
    <w:rsid w:val="006318A7"/>
    <w:rsid w:val="006328F6"/>
    <w:rsid w:val="00632A58"/>
    <w:rsid w:val="00636B02"/>
    <w:rsid w:val="00637E5D"/>
    <w:rsid w:val="00640086"/>
    <w:rsid w:val="00640110"/>
    <w:rsid w:val="006418D3"/>
    <w:rsid w:val="00641FAA"/>
    <w:rsid w:val="00646A1E"/>
    <w:rsid w:val="00653881"/>
    <w:rsid w:val="0065506F"/>
    <w:rsid w:val="0065578A"/>
    <w:rsid w:val="006601F1"/>
    <w:rsid w:val="0066069C"/>
    <w:rsid w:val="006611D2"/>
    <w:rsid w:val="006611FC"/>
    <w:rsid w:val="00661200"/>
    <w:rsid w:val="006618DB"/>
    <w:rsid w:val="006649EB"/>
    <w:rsid w:val="00666785"/>
    <w:rsid w:val="00667404"/>
    <w:rsid w:val="006703BA"/>
    <w:rsid w:val="00672158"/>
    <w:rsid w:val="00672424"/>
    <w:rsid w:val="00672A73"/>
    <w:rsid w:val="006739D1"/>
    <w:rsid w:val="006829A4"/>
    <w:rsid w:val="00683241"/>
    <w:rsid w:val="00684DE1"/>
    <w:rsid w:val="006859E2"/>
    <w:rsid w:val="00685C0B"/>
    <w:rsid w:val="006904F1"/>
    <w:rsid w:val="006926A2"/>
    <w:rsid w:val="00695E55"/>
    <w:rsid w:val="006A07CE"/>
    <w:rsid w:val="006A16EE"/>
    <w:rsid w:val="006A34CD"/>
    <w:rsid w:val="006A3CDB"/>
    <w:rsid w:val="006A6CD6"/>
    <w:rsid w:val="006A70CA"/>
    <w:rsid w:val="006B0FEC"/>
    <w:rsid w:val="006B262A"/>
    <w:rsid w:val="006B3475"/>
    <w:rsid w:val="006B50EE"/>
    <w:rsid w:val="006B6AFA"/>
    <w:rsid w:val="006C1740"/>
    <w:rsid w:val="006C3808"/>
    <w:rsid w:val="006C4211"/>
    <w:rsid w:val="006C4C94"/>
    <w:rsid w:val="006C561E"/>
    <w:rsid w:val="006C5827"/>
    <w:rsid w:val="006C5C87"/>
    <w:rsid w:val="006C6EBC"/>
    <w:rsid w:val="006C7CB4"/>
    <w:rsid w:val="006D27C7"/>
    <w:rsid w:val="006D54F1"/>
    <w:rsid w:val="006D6F8C"/>
    <w:rsid w:val="006D7572"/>
    <w:rsid w:val="006E0F56"/>
    <w:rsid w:val="006E190A"/>
    <w:rsid w:val="006E4298"/>
    <w:rsid w:val="006E4A3D"/>
    <w:rsid w:val="006E5610"/>
    <w:rsid w:val="006E737F"/>
    <w:rsid w:val="006F26A9"/>
    <w:rsid w:val="006F3574"/>
    <w:rsid w:val="006F7101"/>
    <w:rsid w:val="006F7282"/>
    <w:rsid w:val="006F7EB8"/>
    <w:rsid w:val="007037AE"/>
    <w:rsid w:val="00703AF1"/>
    <w:rsid w:val="00704413"/>
    <w:rsid w:val="00706EBC"/>
    <w:rsid w:val="007113BF"/>
    <w:rsid w:val="0071165F"/>
    <w:rsid w:val="00712F6D"/>
    <w:rsid w:val="00713C88"/>
    <w:rsid w:val="00714DCC"/>
    <w:rsid w:val="007205F1"/>
    <w:rsid w:val="0072259A"/>
    <w:rsid w:val="007238E4"/>
    <w:rsid w:val="00725045"/>
    <w:rsid w:val="00725ECD"/>
    <w:rsid w:val="00732ED4"/>
    <w:rsid w:val="00733591"/>
    <w:rsid w:val="00734084"/>
    <w:rsid w:val="007358C4"/>
    <w:rsid w:val="00735E0E"/>
    <w:rsid w:val="00750F09"/>
    <w:rsid w:val="0075254E"/>
    <w:rsid w:val="00754447"/>
    <w:rsid w:val="00757179"/>
    <w:rsid w:val="00757DA2"/>
    <w:rsid w:val="007610B6"/>
    <w:rsid w:val="007616F4"/>
    <w:rsid w:val="0077399B"/>
    <w:rsid w:val="007749E7"/>
    <w:rsid w:val="007813B7"/>
    <w:rsid w:val="00781495"/>
    <w:rsid w:val="0078347A"/>
    <w:rsid w:val="00784F26"/>
    <w:rsid w:val="00785C5A"/>
    <w:rsid w:val="007919F5"/>
    <w:rsid w:val="00794FFA"/>
    <w:rsid w:val="007974BC"/>
    <w:rsid w:val="007A1694"/>
    <w:rsid w:val="007A1C19"/>
    <w:rsid w:val="007A2920"/>
    <w:rsid w:val="007A491B"/>
    <w:rsid w:val="007A79C5"/>
    <w:rsid w:val="007B019D"/>
    <w:rsid w:val="007B22F9"/>
    <w:rsid w:val="007B3A64"/>
    <w:rsid w:val="007B3FDB"/>
    <w:rsid w:val="007B4248"/>
    <w:rsid w:val="007B7601"/>
    <w:rsid w:val="007C01C2"/>
    <w:rsid w:val="007C20E6"/>
    <w:rsid w:val="007C3441"/>
    <w:rsid w:val="007C3C1D"/>
    <w:rsid w:val="007C5BF3"/>
    <w:rsid w:val="007C6B4F"/>
    <w:rsid w:val="007D207A"/>
    <w:rsid w:val="007D2B75"/>
    <w:rsid w:val="007D512C"/>
    <w:rsid w:val="007D557B"/>
    <w:rsid w:val="007D7F17"/>
    <w:rsid w:val="007D7F27"/>
    <w:rsid w:val="007E03D1"/>
    <w:rsid w:val="007E043E"/>
    <w:rsid w:val="007E161B"/>
    <w:rsid w:val="007E203A"/>
    <w:rsid w:val="007E2DC2"/>
    <w:rsid w:val="007E62A5"/>
    <w:rsid w:val="007F1743"/>
    <w:rsid w:val="007F2D7F"/>
    <w:rsid w:val="007F30A9"/>
    <w:rsid w:val="007F5729"/>
    <w:rsid w:val="007F7958"/>
    <w:rsid w:val="00802F81"/>
    <w:rsid w:val="00803D26"/>
    <w:rsid w:val="00810A95"/>
    <w:rsid w:val="00812D3D"/>
    <w:rsid w:val="008140DD"/>
    <w:rsid w:val="00814DCF"/>
    <w:rsid w:val="00816914"/>
    <w:rsid w:val="008205DF"/>
    <w:rsid w:val="00821A96"/>
    <w:rsid w:val="00822EDC"/>
    <w:rsid w:val="0082330E"/>
    <w:rsid w:val="0083086C"/>
    <w:rsid w:val="00831375"/>
    <w:rsid w:val="00831A33"/>
    <w:rsid w:val="008361D3"/>
    <w:rsid w:val="0083621F"/>
    <w:rsid w:val="008400E2"/>
    <w:rsid w:val="00841274"/>
    <w:rsid w:val="00841F66"/>
    <w:rsid w:val="00843237"/>
    <w:rsid w:val="00843E1F"/>
    <w:rsid w:val="00844AFB"/>
    <w:rsid w:val="00845CBB"/>
    <w:rsid w:val="00845D48"/>
    <w:rsid w:val="008476AB"/>
    <w:rsid w:val="00855AFA"/>
    <w:rsid w:val="008608AA"/>
    <w:rsid w:val="00862CF9"/>
    <w:rsid w:val="00864589"/>
    <w:rsid w:val="00867903"/>
    <w:rsid w:val="00871756"/>
    <w:rsid w:val="00874BD1"/>
    <w:rsid w:val="0087649A"/>
    <w:rsid w:val="00881AD7"/>
    <w:rsid w:val="008902CA"/>
    <w:rsid w:val="0089054E"/>
    <w:rsid w:val="00896056"/>
    <w:rsid w:val="008977FE"/>
    <w:rsid w:val="008A1A32"/>
    <w:rsid w:val="008A3594"/>
    <w:rsid w:val="008A3CA0"/>
    <w:rsid w:val="008A518E"/>
    <w:rsid w:val="008A549F"/>
    <w:rsid w:val="008A5B6C"/>
    <w:rsid w:val="008A5DD1"/>
    <w:rsid w:val="008A6030"/>
    <w:rsid w:val="008A7A7A"/>
    <w:rsid w:val="008B01AD"/>
    <w:rsid w:val="008B4CA8"/>
    <w:rsid w:val="008B4CF5"/>
    <w:rsid w:val="008B4F47"/>
    <w:rsid w:val="008B5070"/>
    <w:rsid w:val="008B725B"/>
    <w:rsid w:val="008C16FD"/>
    <w:rsid w:val="008C20EF"/>
    <w:rsid w:val="008C2576"/>
    <w:rsid w:val="008C520B"/>
    <w:rsid w:val="008C5777"/>
    <w:rsid w:val="008C7F15"/>
    <w:rsid w:val="008D09A1"/>
    <w:rsid w:val="008E0388"/>
    <w:rsid w:val="008E31EB"/>
    <w:rsid w:val="008E598B"/>
    <w:rsid w:val="008E68AF"/>
    <w:rsid w:val="008E69DF"/>
    <w:rsid w:val="008F0372"/>
    <w:rsid w:val="008F0A34"/>
    <w:rsid w:val="0090191D"/>
    <w:rsid w:val="00901F46"/>
    <w:rsid w:val="00904596"/>
    <w:rsid w:val="00904C73"/>
    <w:rsid w:val="00904E30"/>
    <w:rsid w:val="00906F9D"/>
    <w:rsid w:val="00907B1D"/>
    <w:rsid w:val="00910644"/>
    <w:rsid w:val="00910ACB"/>
    <w:rsid w:val="009116FD"/>
    <w:rsid w:val="00913E5A"/>
    <w:rsid w:val="009178E8"/>
    <w:rsid w:val="00931FCB"/>
    <w:rsid w:val="00932CF4"/>
    <w:rsid w:val="00932F8B"/>
    <w:rsid w:val="0093400A"/>
    <w:rsid w:val="00934823"/>
    <w:rsid w:val="00936813"/>
    <w:rsid w:val="0093775C"/>
    <w:rsid w:val="00937CA2"/>
    <w:rsid w:val="00941806"/>
    <w:rsid w:val="009420C6"/>
    <w:rsid w:val="009433E2"/>
    <w:rsid w:val="00943750"/>
    <w:rsid w:val="00945B36"/>
    <w:rsid w:val="009463D9"/>
    <w:rsid w:val="009467B5"/>
    <w:rsid w:val="00952EA1"/>
    <w:rsid w:val="009531B0"/>
    <w:rsid w:val="00954671"/>
    <w:rsid w:val="00954956"/>
    <w:rsid w:val="0095656E"/>
    <w:rsid w:val="00957B21"/>
    <w:rsid w:val="00960D81"/>
    <w:rsid w:val="009610F6"/>
    <w:rsid w:val="00961719"/>
    <w:rsid w:val="00961EC2"/>
    <w:rsid w:val="00970155"/>
    <w:rsid w:val="00970689"/>
    <w:rsid w:val="00970A96"/>
    <w:rsid w:val="00972CF0"/>
    <w:rsid w:val="00975CD6"/>
    <w:rsid w:val="009777F5"/>
    <w:rsid w:val="00980374"/>
    <w:rsid w:val="0098139A"/>
    <w:rsid w:val="009829C1"/>
    <w:rsid w:val="00983A1F"/>
    <w:rsid w:val="00985BF6"/>
    <w:rsid w:val="009869B0"/>
    <w:rsid w:val="00990BA9"/>
    <w:rsid w:val="00990D15"/>
    <w:rsid w:val="00990DD3"/>
    <w:rsid w:val="00992141"/>
    <w:rsid w:val="00994A0E"/>
    <w:rsid w:val="0099740C"/>
    <w:rsid w:val="009A20C7"/>
    <w:rsid w:val="009A27F6"/>
    <w:rsid w:val="009A312E"/>
    <w:rsid w:val="009A3FE7"/>
    <w:rsid w:val="009A451C"/>
    <w:rsid w:val="009A5CE8"/>
    <w:rsid w:val="009B2E93"/>
    <w:rsid w:val="009B4267"/>
    <w:rsid w:val="009B5231"/>
    <w:rsid w:val="009B6470"/>
    <w:rsid w:val="009B65AA"/>
    <w:rsid w:val="009B6A41"/>
    <w:rsid w:val="009B6F87"/>
    <w:rsid w:val="009B7123"/>
    <w:rsid w:val="009B741B"/>
    <w:rsid w:val="009B7C9E"/>
    <w:rsid w:val="009C04E0"/>
    <w:rsid w:val="009C155C"/>
    <w:rsid w:val="009C1B73"/>
    <w:rsid w:val="009C24D2"/>
    <w:rsid w:val="009C2505"/>
    <w:rsid w:val="009C25D1"/>
    <w:rsid w:val="009C2EF2"/>
    <w:rsid w:val="009C38FF"/>
    <w:rsid w:val="009C5F9D"/>
    <w:rsid w:val="009C5FCE"/>
    <w:rsid w:val="009C7BD3"/>
    <w:rsid w:val="009D08DB"/>
    <w:rsid w:val="009D1314"/>
    <w:rsid w:val="009D148C"/>
    <w:rsid w:val="009D1E2F"/>
    <w:rsid w:val="009D29B3"/>
    <w:rsid w:val="009D6390"/>
    <w:rsid w:val="009E071D"/>
    <w:rsid w:val="009E1350"/>
    <w:rsid w:val="009E22C9"/>
    <w:rsid w:val="009F0EB4"/>
    <w:rsid w:val="009F1999"/>
    <w:rsid w:val="009F3A2D"/>
    <w:rsid w:val="009F4DAA"/>
    <w:rsid w:val="009F4EF9"/>
    <w:rsid w:val="00A01CBA"/>
    <w:rsid w:val="00A02EEF"/>
    <w:rsid w:val="00A035D3"/>
    <w:rsid w:val="00A04352"/>
    <w:rsid w:val="00A11B87"/>
    <w:rsid w:val="00A143E5"/>
    <w:rsid w:val="00A144C7"/>
    <w:rsid w:val="00A1672F"/>
    <w:rsid w:val="00A2081B"/>
    <w:rsid w:val="00A20FA0"/>
    <w:rsid w:val="00A211FC"/>
    <w:rsid w:val="00A2296E"/>
    <w:rsid w:val="00A40CB5"/>
    <w:rsid w:val="00A40E5C"/>
    <w:rsid w:val="00A43427"/>
    <w:rsid w:val="00A447B4"/>
    <w:rsid w:val="00A46E4F"/>
    <w:rsid w:val="00A50C30"/>
    <w:rsid w:val="00A5181C"/>
    <w:rsid w:val="00A57D45"/>
    <w:rsid w:val="00A61000"/>
    <w:rsid w:val="00A6189F"/>
    <w:rsid w:val="00A62507"/>
    <w:rsid w:val="00A62922"/>
    <w:rsid w:val="00A64E5A"/>
    <w:rsid w:val="00A652B3"/>
    <w:rsid w:val="00A655B9"/>
    <w:rsid w:val="00A667F2"/>
    <w:rsid w:val="00A71F35"/>
    <w:rsid w:val="00A727F4"/>
    <w:rsid w:val="00A72F99"/>
    <w:rsid w:val="00A73255"/>
    <w:rsid w:val="00A738F4"/>
    <w:rsid w:val="00A75939"/>
    <w:rsid w:val="00A772E2"/>
    <w:rsid w:val="00A85D5A"/>
    <w:rsid w:val="00A85E7F"/>
    <w:rsid w:val="00A87B9E"/>
    <w:rsid w:val="00A87F2B"/>
    <w:rsid w:val="00A905C7"/>
    <w:rsid w:val="00A92CCC"/>
    <w:rsid w:val="00A94BDC"/>
    <w:rsid w:val="00A95EDA"/>
    <w:rsid w:val="00AA13D2"/>
    <w:rsid w:val="00AA19D8"/>
    <w:rsid w:val="00AA5558"/>
    <w:rsid w:val="00AA70EB"/>
    <w:rsid w:val="00AB0BD0"/>
    <w:rsid w:val="00AB190F"/>
    <w:rsid w:val="00AB2F22"/>
    <w:rsid w:val="00AB308F"/>
    <w:rsid w:val="00AB394C"/>
    <w:rsid w:val="00AB71F1"/>
    <w:rsid w:val="00AB74FC"/>
    <w:rsid w:val="00AC0194"/>
    <w:rsid w:val="00AC19B2"/>
    <w:rsid w:val="00AC1C2C"/>
    <w:rsid w:val="00AC2BC2"/>
    <w:rsid w:val="00AC66DC"/>
    <w:rsid w:val="00AC685E"/>
    <w:rsid w:val="00AC7C38"/>
    <w:rsid w:val="00AD05DC"/>
    <w:rsid w:val="00AD239A"/>
    <w:rsid w:val="00AD2464"/>
    <w:rsid w:val="00AD7480"/>
    <w:rsid w:val="00AD7914"/>
    <w:rsid w:val="00AE07C9"/>
    <w:rsid w:val="00AE2339"/>
    <w:rsid w:val="00AE30EF"/>
    <w:rsid w:val="00AE4237"/>
    <w:rsid w:val="00AE522D"/>
    <w:rsid w:val="00AE599C"/>
    <w:rsid w:val="00AE651A"/>
    <w:rsid w:val="00AE6B55"/>
    <w:rsid w:val="00AF0209"/>
    <w:rsid w:val="00AF02BA"/>
    <w:rsid w:val="00AF1B12"/>
    <w:rsid w:val="00AF1DC4"/>
    <w:rsid w:val="00AF3C7D"/>
    <w:rsid w:val="00AF45B7"/>
    <w:rsid w:val="00AF6527"/>
    <w:rsid w:val="00AF68D6"/>
    <w:rsid w:val="00B00957"/>
    <w:rsid w:val="00B02B1B"/>
    <w:rsid w:val="00B03B5F"/>
    <w:rsid w:val="00B04355"/>
    <w:rsid w:val="00B05C74"/>
    <w:rsid w:val="00B06896"/>
    <w:rsid w:val="00B07FBC"/>
    <w:rsid w:val="00B107A4"/>
    <w:rsid w:val="00B262A6"/>
    <w:rsid w:val="00B27A08"/>
    <w:rsid w:val="00B30429"/>
    <w:rsid w:val="00B31C2A"/>
    <w:rsid w:val="00B34AB0"/>
    <w:rsid w:val="00B36A85"/>
    <w:rsid w:val="00B43A37"/>
    <w:rsid w:val="00B45195"/>
    <w:rsid w:val="00B45CF2"/>
    <w:rsid w:val="00B51A1E"/>
    <w:rsid w:val="00B536A8"/>
    <w:rsid w:val="00B54051"/>
    <w:rsid w:val="00B55345"/>
    <w:rsid w:val="00B604D1"/>
    <w:rsid w:val="00B609E5"/>
    <w:rsid w:val="00B61C41"/>
    <w:rsid w:val="00B67F8E"/>
    <w:rsid w:val="00B70A65"/>
    <w:rsid w:val="00B71596"/>
    <w:rsid w:val="00B741EE"/>
    <w:rsid w:val="00B75342"/>
    <w:rsid w:val="00B8031A"/>
    <w:rsid w:val="00B87429"/>
    <w:rsid w:val="00B93119"/>
    <w:rsid w:val="00B93C55"/>
    <w:rsid w:val="00B93FD0"/>
    <w:rsid w:val="00B9629E"/>
    <w:rsid w:val="00B96FC5"/>
    <w:rsid w:val="00B97EAF"/>
    <w:rsid w:val="00BA1B3A"/>
    <w:rsid w:val="00BA5282"/>
    <w:rsid w:val="00BA7382"/>
    <w:rsid w:val="00BA7D7E"/>
    <w:rsid w:val="00BB224B"/>
    <w:rsid w:val="00BC0760"/>
    <w:rsid w:val="00BC333F"/>
    <w:rsid w:val="00BD4BBA"/>
    <w:rsid w:val="00BD5D9D"/>
    <w:rsid w:val="00BD60DB"/>
    <w:rsid w:val="00BD7033"/>
    <w:rsid w:val="00BD75C0"/>
    <w:rsid w:val="00BE1FC0"/>
    <w:rsid w:val="00BE296D"/>
    <w:rsid w:val="00BE4399"/>
    <w:rsid w:val="00BE5265"/>
    <w:rsid w:val="00BE7D50"/>
    <w:rsid w:val="00BF1B30"/>
    <w:rsid w:val="00BF2212"/>
    <w:rsid w:val="00BF430A"/>
    <w:rsid w:val="00C02AEC"/>
    <w:rsid w:val="00C02D93"/>
    <w:rsid w:val="00C05734"/>
    <w:rsid w:val="00C05D7F"/>
    <w:rsid w:val="00C125A3"/>
    <w:rsid w:val="00C12E4D"/>
    <w:rsid w:val="00C13989"/>
    <w:rsid w:val="00C20A15"/>
    <w:rsid w:val="00C22720"/>
    <w:rsid w:val="00C23C78"/>
    <w:rsid w:val="00C245FB"/>
    <w:rsid w:val="00C26729"/>
    <w:rsid w:val="00C27A34"/>
    <w:rsid w:val="00C328FC"/>
    <w:rsid w:val="00C40917"/>
    <w:rsid w:val="00C476E0"/>
    <w:rsid w:val="00C51A2A"/>
    <w:rsid w:val="00C5394B"/>
    <w:rsid w:val="00C55EB3"/>
    <w:rsid w:val="00C57CA5"/>
    <w:rsid w:val="00C61FF7"/>
    <w:rsid w:val="00C6291F"/>
    <w:rsid w:val="00C64307"/>
    <w:rsid w:val="00C719A5"/>
    <w:rsid w:val="00C753B4"/>
    <w:rsid w:val="00C86464"/>
    <w:rsid w:val="00C865AE"/>
    <w:rsid w:val="00C909DF"/>
    <w:rsid w:val="00C90D46"/>
    <w:rsid w:val="00C915EB"/>
    <w:rsid w:val="00C93C35"/>
    <w:rsid w:val="00C97AE4"/>
    <w:rsid w:val="00CA1CBE"/>
    <w:rsid w:val="00CA2128"/>
    <w:rsid w:val="00CA3DA8"/>
    <w:rsid w:val="00CB14B7"/>
    <w:rsid w:val="00CB2F48"/>
    <w:rsid w:val="00CB3E85"/>
    <w:rsid w:val="00CB4FB3"/>
    <w:rsid w:val="00CB7B83"/>
    <w:rsid w:val="00CC055D"/>
    <w:rsid w:val="00CC294B"/>
    <w:rsid w:val="00CC7A39"/>
    <w:rsid w:val="00CD07EC"/>
    <w:rsid w:val="00CD0ADB"/>
    <w:rsid w:val="00CD1AA7"/>
    <w:rsid w:val="00CD1E63"/>
    <w:rsid w:val="00CD3D34"/>
    <w:rsid w:val="00CD5B83"/>
    <w:rsid w:val="00CD72A8"/>
    <w:rsid w:val="00CE0925"/>
    <w:rsid w:val="00CE37FB"/>
    <w:rsid w:val="00CE3AB6"/>
    <w:rsid w:val="00CE3AF3"/>
    <w:rsid w:val="00CE5497"/>
    <w:rsid w:val="00CE5898"/>
    <w:rsid w:val="00CE5A6D"/>
    <w:rsid w:val="00CE5DF3"/>
    <w:rsid w:val="00CE7787"/>
    <w:rsid w:val="00CE7C1E"/>
    <w:rsid w:val="00CF0804"/>
    <w:rsid w:val="00CF2AC7"/>
    <w:rsid w:val="00CF3BB1"/>
    <w:rsid w:val="00CF4E63"/>
    <w:rsid w:val="00CF65E0"/>
    <w:rsid w:val="00CF6F56"/>
    <w:rsid w:val="00CF7B7F"/>
    <w:rsid w:val="00CF7DE2"/>
    <w:rsid w:val="00D03CDC"/>
    <w:rsid w:val="00D03D21"/>
    <w:rsid w:val="00D03EC4"/>
    <w:rsid w:val="00D04B27"/>
    <w:rsid w:val="00D05A95"/>
    <w:rsid w:val="00D05C72"/>
    <w:rsid w:val="00D10425"/>
    <w:rsid w:val="00D1265D"/>
    <w:rsid w:val="00D12D43"/>
    <w:rsid w:val="00D13246"/>
    <w:rsid w:val="00D144AD"/>
    <w:rsid w:val="00D20199"/>
    <w:rsid w:val="00D20F2E"/>
    <w:rsid w:val="00D23538"/>
    <w:rsid w:val="00D26ABF"/>
    <w:rsid w:val="00D307F3"/>
    <w:rsid w:val="00D32BD1"/>
    <w:rsid w:val="00D354F4"/>
    <w:rsid w:val="00D373C2"/>
    <w:rsid w:val="00D420FC"/>
    <w:rsid w:val="00D44D40"/>
    <w:rsid w:val="00D46F88"/>
    <w:rsid w:val="00D504B7"/>
    <w:rsid w:val="00D60581"/>
    <w:rsid w:val="00D6477E"/>
    <w:rsid w:val="00D75908"/>
    <w:rsid w:val="00D77E54"/>
    <w:rsid w:val="00D806B5"/>
    <w:rsid w:val="00D80C01"/>
    <w:rsid w:val="00D8753B"/>
    <w:rsid w:val="00D92E05"/>
    <w:rsid w:val="00D9433E"/>
    <w:rsid w:val="00D95AA2"/>
    <w:rsid w:val="00D9640C"/>
    <w:rsid w:val="00DA109F"/>
    <w:rsid w:val="00DA1E5D"/>
    <w:rsid w:val="00DA2A1B"/>
    <w:rsid w:val="00DA2F4E"/>
    <w:rsid w:val="00DA4C8D"/>
    <w:rsid w:val="00DA73FD"/>
    <w:rsid w:val="00DA7FD1"/>
    <w:rsid w:val="00DB052E"/>
    <w:rsid w:val="00DB0A22"/>
    <w:rsid w:val="00DB155C"/>
    <w:rsid w:val="00DB3323"/>
    <w:rsid w:val="00DB3CCE"/>
    <w:rsid w:val="00DB4D46"/>
    <w:rsid w:val="00DB76DA"/>
    <w:rsid w:val="00DB7A80"/>
    <w:rsid w:val="00DC49BD"/>
    <w:rsid w:val="00DC6261"/>
    <w:rsid w:val="00DC6576"/>
    <w:rsid w:val="00DC7133"/>
    <w:rsid w:val="00DD1D2F"/>
    <w:rsid w:val="00DD49E9"/>
    <w:rsid w:val="00DD590B"/>
    <w:rsid w:val="00DD5954"/>
    <w:rsid w:val="00DD76C1"/>
    <w:rsid w:val="00DD7B9D"/>
    <w:rsid w:val="00DD7BD8"/>
    <w:rsid w:val="00DE01D2"/>
    <w:rsid w:val="00DE3744"/>
    <w:rsid w:val="00DF0318"/>
    <w:rsid w:val="00DF3F7D"/>
    <w:rsid w:val="00DF644B"/>
    <w:rsid w:val="00DF7C97"/>
    <w:rsid w:val="00E0148D"/>
    <w:rsid w:val="00E059B1"/>
    <w:rsid w:val="00E0623F"/>
    <w:rsid w:val="00E0629D"/>
    <w:rsid w:val="00E0783D"/>
    <w:rsid w:val="00E10A17"/>
    <w:rsid w:val="00E1480D"/>
    <w:rsid w:val="00E157D2"/>
    <w:rsid w:val="00E31023"/>
    <w:rsid w:val="00E33198"/>
    <w:rsid w:val="00E346F3"/>
    <w:rsid w:val="00E35781"/>
    <w:rsid w:val="00E35A2B"/>
    <w:rsid w:val="00E3622E"/>
    <w:rsid w:val="00E3738D"/>
    <w:rsid w:val="00E443A9"/>
    <w:rsid w:val="00E445BB"/>
    <w:rsid w:val="00E46796"/>
    <w:rsid w:val="00E509D2"/>
    <w:rsid w:val="00E51B31"/>
    <w:rsid w:val="00E543B1"/>
    <w:rsid w:val="00E54B50"/>
    <w:rsid w:val="00E55B83"/>
    <w:rsid w:val="00E5673E"/>
    <w:rsid w:val="00E616D3"/>
    <w:rsid w:val="00E6351B"/>
    <w:rsid w:val="00E642F1"/>
    <w:rsid w:val="00E64832"/>
    <w:rsid w:val="00E67491"/>
    <w:rsid w:val="00E67B22"/>
    <w:rsid w:val="00E700EB"/>
    <w:rsid w:val="00E71334"/>
    <w:rsid w:val="00E72922"/>
    <w:rsid w:val="00E74234"/>
    <w:rsid w:val="00E80315"/>
    <w:rsid w:val="00E80440"/>
    <w:rsid w:val="00E817B8"/>
    <w:rsid w:val="00E87627"/>
    <w:rsid w:val="00E901B5"/>
    <w:rsid w:val="00E9085B"/>
    <w:rsid w:val="00E91F26"/>
    <w:rsid w:val="00EA203A"/>
    <w:rsid w:val="00EA61E7"/>
    <w:rsid w:val="00EB4652"/>
    <w:rsid w:val="00EB4844"/>
    <w:rsid w:val="00EB48FA"/>
    <w:rsid w:val="00EB4C0B"/>
    <w:rsid w:val="00EB4F1E"/>
    <w:rsid w:val="00EB5EF1"/>
    <w:rsid w:val="00EC0480"/>
    <w:rsid w:val="00EC097B"/>
    <w:rsid w:val="00EC1127"/>
    <w:rsid w:val="00EC2D39"/>
    <w:rsid w:val="00EC3FC1"/>
    <w:rsid w:val="00EC492A"/>
    <w:rsid w:val="00EC66D0"/>
    <w:rsid w:val="00EC6916"/>
    <w:rsid w:val="00EC72A0"/>
    <w:rsid w:val="00ED0EA6"/>
    <w:rsid w:val="00ED47D6"/>
    <w:rsid w:val="00ED5501"/>
    <w:rsid w:val="00ED74F9"/>
    <w:rsid w:val="00EE09F6"/>
    <w:rsid w:val="00EE16D1"/>
    <w:rsid w:val="00EE4727"/>
    <w:rsid w:val="00EE7133"/>
    <w:rsid w:val="00EF2C4D"/>
    <w:rsid w:val="00EF3EA0"/>
    <w:rsid w:val="00EF4F92"/>
    <w:rsid w:val="00F125A2"/>
    <w:rsid w:val="00F21EB7"/>
    <w:rsid w:val="00F23884"/>
    <w:rsid w:val="00F27C91"/>
    <w:rsid w:val="00F3114A"/>
    <w:rsid w:val="00F34FAA"/>
    <w:rsid w:val="00F35A1C"/>
    <w:rsid w:val="00F41C97"/>
    <w:rsid w:val="00F423DD"/>
    <w:rsid w:val="00F42DA3"/>
    <w:rsid w:val="00F442D1"/>
    <w:rsid w:val="00F50BCB"/>
    <w:rsid w:val="00F57C3C"/>
    <w:rsid w:val="00F609D4"/>
    <w:rsid w:val="00F61D3E"/>
    <w:rsid w:val="00F647D4"/>
    <w:rsid w:val="00F66480"/>
    <w:rsid w:val="00F679F2"/>
    <w:rsid w:val="00F70A56"/>
    <w:rsid w:val="00F717BD"/>
    <w:rsid w:val="00F71C6C"/>
    <w:rsid w:val="00F7208F"/>
    <w:rsid w:val="00F726CC"/>
    <w:rsid w:val="00F7284A"/>
    <w:rsid w:val="00F72D04"/>
    <w:rsid w:val="00F741FA"/>
    <w:rsid w:val="00F74CD3"/>
    <w:rsid w:val="00F7548B"/>
    <w:rsid w:val="00F76DE6"/>
    <w:rsid w:val="00F8177E"/>
    <w:rsid w:val="00F81B20"/>
    <w:rsid w:val="00F81CAE"/>
    <w:rsid w:val="00F855D6"/>
    <w:rsid w:val="00F85CB6"/>
    <w:rsid w:val="00F90865"/>
    <w:rsid w:val="00F92003"/>
    <w:rsid w:val="00F93641"/>
    <w:rsid w:val="00F93F1A"/>
    <w:rsid w:val="00F95B8D"/>
    <w:rsid w:val="00F95F85"/>
    <w:rsid w:val="00FA0A83"/>
    <w:rsid w:val="00FA1765"/>
    <w:rsid w:val="00FA3247"/>
    <w:rsid w:val="00FA3802"/>
    <w:rsid w:val="00FA60B9"/>
    <w:rsid w:val="00FA785A"/>
    <w:rsid w:val="00FB07CF"/>
    <w:rsid w:val="00FB0A98"/>
    <w:rsid w:val="00FB57FE"/>
    <w:rsid w:val="00FB7ABA"/>
    <w:rsid w:val="00FD577B"/>
    <w:rsid w:val="00FD7941"/>
    <w:rsid w:val="00FD7F48"/>
    <w:rsid w:val="00FE01B5"/>
    <w:rsid w:val="00FE33A9"/>
    <w:rsid w:val="00FE68D0"/>
    <w:rsid w:val="00FE70B3"/>
    <w:rsid w:val="00FF0D29"/>
    <w:rsid w:val="00FF2A02"/>
    <w:rsid w:val="00FF3CC8"/>
    <w:rsid w:val="00FF3F1A"/>
    <w:rsid w:val="00FF514E"/>
    <w:rsid w:val="00FF59DF"/>
    <w:rsid w:val="0106094F"/>
    <w:rsid w:val="010B6520"/>
    <w:rsid w:val="010F7A93"/>
    <w:rsid w:val="011610F9"/>
    <w:rsid w:val="011848AD"/>
    <w:rsid w:val="01196F81"/>
    <w:rsid w:val="011E607C"/>
    <w:rsid w:val="014041EC"/>
    <w:rsid w:val="014257E4"/>
    <w:rsid w:val="01505E0E"/>
    <w:rsid w:val="016A4018"/>
    <w:rsid w:val="0172350C"/>
    <w:rsid w:val="01871159"/>
    <w:rsid w:val="018F562F"/>
    <w:rsid w:val="01A66944"/>
    <w:rsid w:val="01AD6063"/>
    <w:rsid w:val="01AD73AA"/>
    <w:rsid w:val="01B31738"/>
    <w:rsid w:val="01B46FDC"/>
    <w:rsid w:val="01BC42AC"/>
    <w:rsid w:val="01BE5128"/>
    <w:rsid w:val="01C7130B"/>
    <w:rsid w:val="01D220AF"/>
    <w:rsid w:val="01DA3B85"/>
    <w:rsid w:val="01E152F2"/>
    <w:rsid w:val="01F66F29"/>
    <w:rsid w:val="0207582E"/>
    <w:rsid w:val="02087C16"/>
    <w:rsid w:val="020A2A03"/>
    <w:rsid w:val="020B2730"/>
    <w:rsid w:val="02252FDC"/>
    <w:rsid w:val="023316F3"/>
    <w:rsid w:val="024E7D49"/>
    <w:rsid w:val="025A5D1B"/>
    <w:rsid w:val="02600CE7"/>
    <w:rsid w:val="02705F30"/>
    <w:rsid w:val="02711BF5"/>
    <w:rsid w:val="027439E4"/>
    <w:rsid w:val="028777A5"/>
    <w:rsid w:val="02885462"/>
    <w:rsid w:val="02912CC3"/>
    <w:rsid w:val="02937B0F"/>
    <w:rsid w:val="02AB2F9A"/>
    <w:rsid w:val="02B26C02"/>
    <w:rsid w:val="02B90A64"/>
    <w:rsid w:val="02B94B27"/>
    <w:rsid w:val="02BE5CDA"/>
    <w:rsid w:val="02C01CBD"/>
    <w:rsid w:val="02DD2687"/>
    <w:rsid w:val="02F70EE2"/>
    <w:rsid w:val="02FD6EEA"/>
    <w:rsid w:val="02FE20CD"/>
    <w:rsid w:val="03062167"/>
    <w:rsid w:val="03063EDC"/>
    <w:rsid w:val="03116FBA"/>
    <w:rsid w:val="0329210E"/>
    <w:rsid w:val="033A5ABC"/>
    <w:rsid w:val="033E04D0"/>
    <w:rsid w:val="0359073E"/>
    <w:rsid w:val="035B2040"/>
    <w:rsid w:val="036348FC"/>
    <w:rsid w:val="0364282E"/>
    <w:rsid w:val="036E541C"/>
    <w:rsid w:val="037114C4"/>
    <w:rsid w:val="037847F9"/>
    <w:rsid w:val="037A04FD"/>
    <w:rsid w:val="038C5BA8"/>
    <w:rsid w:val="0399358B"/>
    <w:rsid w:val="03A22A65"/>
    <w:rsid w:val="03A8216E"/>
    <w:rsid w:val="03C020B4"/>
    <w:rsid w:val="03C50DF5"/>
    <w:rsid w:val="03CE1757"/>
    <w:rsid w:val="03D16A10"/>
    <w:rsid w:val="03D41680"/>
    <w:rsid w:val="03D91054"/>
    <w:rsid w:val="03ED3B1A"/>
    <w:rsid w:val="03EF7C67"/>
    <w:rsid w:val="040540F0"/>
    <w:rsid w:val="040642CF"/>
    <w:rsid w:val="040972E6"/>
    <w:rsid w:val="040C1CA2"/>
    <w:rsid w:val="041466C1"/>
    <w:rsid w:val="041B4F1C"/>
    <w:rsid w:val="04226D6A"/>
    <w:rsid w:val="042B3BF9"/>
    <w:rsid w:val="043509FA"/>
    <w:rsid w:val="04355838"/>
    <w:rsid w:val="04395D28"/>
    <w:rsid w:val="044C72BE"/>
    <w:rsid w:val="0471621A"/>
    <w:rsid w:val="047D56F6"/>
    <w:rsid w:val="047F41A6"/>
    <w:rsid w:val="04952075"/>
    <w:rsid w:val="049D4140"/>
    <w:rsid w:val="049F62FE"/>
    <w:rsid w:val="04B129FB"/>
    <w:rsid w:val="04B15C25"/>
    <w:rsid w:val="04B25A3C"/>
    <w:rsid w:val="04CE36E2"/>
    <w:rsid w:val="04D05C1D"/>
    <w:rsid w:val="04DD2341"/>
    <w:rsid w:val="04DE5170"/>
    <w:rsid w:val="04EE280F"/>
    <w:rsid w:val="05087D6A"/>
    <w:rsid w:val="0509256A"/>
    <w:rsid w:val="051756C8"/>
    <w:rsid w:val="051955CB"/>
    <w:rsid w:val="051B7D23"/>
    <w:rsid w:val="052112E4"/>
    <w:rsid w:val="053012D7"/>
    <w:rsid w:val="054044B9"/>
    <w:rsid w:val="05480AB5"/>
    <w:rsid w:val="055719A3"/>
    <w:rsid w:val="055878C2"/>
    <w:rsid w:val="055E3F89"/>
    <w:rsid w:val="0567403D"/>
    <w:rsid w:val="05743251"/>
    <w:rsid w:val="057F1392"/>
    <w:rsid w:val="058E705C"/>
    <w:rsid w:val="05B56EB7"/>
    <w:rsid w:val="05BC1004"/>
    <w:rsid w:val="05BD1619"/>
    <w:rsid w:val="05D22DC6"/>
    <w:rsid w:val="05D6339D"/>
    <w:rsid w:val="05D8777F"/>
    <w:rsid w:val="05EF4759"/>
    <w:rsid w:val="060F39EB"/>
    <w:rsid w:val="06154AD8"/>
    <w:rsid w:val="06292D60"/>
    <w:rsid w:val="062A2418"/>
    <w:rsid w:val="06412810"/>
    <w:rsid w:val="06465D56"/>
    <w:rsid w:val="06482CE2"/>
    <w:rsid w:val="06533D0C"/>
    <w:rsid w:val="065417F2"/>
    <w:rsid w:val="06667B77"/>
    <w:rsid w:val="0672658D"/>
    <w:rsid w:val="06771E21"/>
    <w:rsid w:val="06852C98"/>
    <w:rsid w:val="068724DD"/>
    <w:rsid w:val="069B1EB1"/>
    <w:rsid w:val="069E6C28"/>
    <w:rsid w:val="06A573FA"/>
    <w:rsid w:val="06B70BB8"/>
    <w:rsid w:val="06B933EB"/>
    <w:rsid w:val="06C45819"/>
    <w:rsid w:val="06C72026"/>
    <w:rsid w:val="06DC0699"/>
    <w:rsid w:val="06DF623B"/>
    <w:rsid w:val="06F62A94"/>
    <w:rsid w:val="06F76970"/>
    <w:rsid w:val="070F3A19"/>
    <w:rsid w:val="07113CD7"/>
    <w:rsid w:val="072001A7"/>
    <w:rsid w:val="072141AC"/>
    <w:rsid w:val="0733386A"/>
    <w:rsid w:val="073C077C"/>
    <w:rsid w:val="07414DAE"/>
    <w:rsid w:val="07437588"/>
    <w:rsid w:val="074D30CE"/>
    <w:rsid w:val="0755644F"/>
    <w:rsid w:val="07885687"/>
    <w:rsid w:val="07A94B40"/>
    <w:rsid w:val="07AF58B0"/>
    <w:rsid w:val="07C35AE0"/>
    <w:rsid w:val="07D32A8A"/>
    <w:rsid w:val="07FC315E"/>
    <w:rsid w:val="08150822"/>
    <w:rsid w:val="08277D03"/>
    <w:rsid w:val="08355D8E"/>
    <w:rsid w:val="08367FBA"/>
    <w:rsid w:val="08380519"/>
    <w:rsid w:val="08382139"/>
    <w:rsid w:val="083A2D5F"/>
    <w:rsid w:val="083A4312"/>
    <w:rsid w:val="083F5BAF"/>
    <w:rsid w:val="0844101C"/>
    <w:rsid w:val="084839DC"/>
    <w:rsid w:val="085F5A4B"/>
    <w:rsid w:val="08611366"/>
    <w:rsid w:val="08650391"/>
    <w:rsid w:val="08660962"/>
    <w:rsid w:val="086B35B2"/>
    <w:rsid w:val="08784DDA"/>
    <w:rsid w:val="087B0266"/>
    <w:rsid w:val="087F132E"/>
    <w:rsid w:val="08AE0543"/>
    <w:rsid w:val="08B62A5B"/>
    <w:rsid w:val="08BB03D6"/>
    <w:rsid w:val="08BB498B"/>
    <w:rsid w:val="08C50FF8"/>
    <w:rsid w:val="08C9127B"/>
    <w:rsid w:val="08C93DC4"/>
    <w:rsid w:val="08CE2928"/>
    <w:rsid w:val="08D60C1D"/>
    <w:rsid w:val="08DF470F"/>
    <w:rsid w:val="08E421B6"/>
    <w:rsid w:val="08FC40B7"/>
    <w:rsid w:val="090561E3"/>
    <w:rsid w:val="091A4A15"/>
    <w:rsid w:val="091C1E66"/>
    <w:rsid w:val="091E18B8"/>
    <w:rsid w:val="092A24C7"/>
    <w:rsid w:val="0937487C"/>
    <w:rsid w:val="094904CF"/>
    <w:rsid w:val="094F4B10"/>
    <w:rsid w:val="095525A4"/>
    <w:rsid w:val="0968545C"/>
    <w:rsid w:val="096D44E0"/>
    <w:rsid w:val="09717155"/>
    <w:rsid w:val="097C4E61"/>
    <w:rsid w:val="09826A58"/>
    <w:rsid w:val="09832AE6"/>
    <w:rsid w:val="099E411A"/>
    <w:rsid w:val="09AD6911"/>
    <w:rsid w:val="09AF49DF"/>
    <w:rsid w:val="09C06422"/>
    <w:rsid w:val="09C323A5"/>
    <w:rsid w:val="09CE55B8"/>
    <w:rsid w:val="09D90382"/>
    <w:rsid w:val="09DE07D2"/>
    <w:rsid w:val="09DF31C9"/>
    <w:rsid w:val="09E02CB1"/>
    <w:rsid w:val="09E4523E"/>
    <w:rsid w:val="09E7384B"/>
    <w:rsid w:val="09EB6459"/>
    <w:rsid w:val="0A0149F7"/>
    <w:rsid w:val="0A046549"/>
    <w:rsid w:val="0A0D4EF4"/>
    <w:rsid w:val="0A122FF5"/>
    <w:rsid w:val="0A2D2B3F"/>
    <w:rsid w:val="0A326D02"/>
    <w:rsid w:val="0A3A0580"/>
    <w:rsid w:val="0A4C0930"/>
    <w:rsid w:val="0A4E7BF4"/>
    <w:rsid w:val="0A5A6A58"/>
    <w:rsid w:val="0A6B333C"/>
    <w:rsid w:val="0A774C46"/>
    <w:rsid w:val="0A791787"/>
    <w:rsid w:val="0A7B3821"/>
    <w:rsid w:val="0A7E2BD0"/>
    <w:rsid w:val="0A81154C"/>
    <w:rsid w:val="0A861519"/>
    <w:rsid w:val="0A9C2F6E"/>
    <w:rsid w:val="0ABF6DFF"/>
    <w:rsid w:val="0AD84321"/>
    <w:rsid w:val="0AE56822"/>
    <w:rsid w:val="0AF35AAF"/>
    <w:rsid w:val="0AF92224"/>
    <w:rsid w:val="0AFC3D75"/>
    <w:rsid w:val="0AFE4A39"/>
    <w:rsid w:val="0AFF7619"/>
    <w:rsid w:val="0B0B0DE0"/>
    <w:rsid w:val="0B0D324D"/>
    <w:rsid w:val="0B0F07F5"/>
    <w:rsid w:val="0B115C27"/>
    <w:rsid w:val="0B1941B7"/>
    <w:rsid w:val="0B2D0ED6"/>
    <w:rsid w:val="0B2D6740"/>
    <w:rsid w:val="0B36195D"/>
    <w:rsid w:val="0B4B6D22"/>
    <w:rsid w:val="0B4D3017"/>
    <w:rsid w:val="0B613D7A"/>
    <w:rsid w:val="0B623516"/>
    <w:rsid w:val="0B750658"/>
    <w:rsid w:val="0B783D2A"/>
    <w:rsid w:val="0B7862C6"/>
    <w:rsid w:val="0B834B8A"/>
    <w:rsid w:val="0B8654E1"/>
    <w:rsid w:val="0BA574B0"/>
    <w:rsid w:val="0BAF07F3"/>
    <w:rsid w:val="0BB6308F"/>
    <w:rsid w:val="0BC25B0C"/>
    <w:rsid w:val="0BC44DA6"/>
    <w:rsid w:val="0BCB2065"/>
    <w:rsid w:val="0BCF68EC"/>
    <w:rsid w:val="0BD6482B"/>
    <w:rsid w:val="0BDA3D95"/>
    <w:rsid w:val="0BE41944"/>
    <w:rsid w:val="0BEC0565"/>
    <w:rsid w:val="0BEC728B"/>
    <w:rsid w:val="0BF3730C"/>
    <w:rsid w:val="0C1B110F"/>
    <w:rsid w:val="0C1C5305"/>
    <w:rsid w:val="0C223BD9"/>
    <w:rsid w:val="0C2254F8"/>
    <w:rsid w:val="0C3728DD"/>
    <w:rsid w:val="0C374B05"/>
    <w:rsid w:val="0C4E54C3"/>
    <w:rsid w:val="0C5211CD"/>
    <w:rsid w:val="0C696E03"/>
    <w:rsid w:val="0C7724E4"/>
    <w:rsid w:val="0C7E3E74"/>
    <w:rsid w:val="0C80788F"/>
    <w:rsid w:val="0C8F7A1B"/>
    <w:rsid w:val="0C913333"/>
    <w:rsid w:val="0C91698D"/>
    <w:rsid w:val="0CA83C61"/>
    <w:rsid w:val="0CA90A21"/>
    <w:rsid w:val="0CAD7091"/>
    <w:rsid w:val="0CAF32DD"/>
    <w:rsid w:val="0CAF4016"/>
    <w:rsid w:val="0CB30F1B"/>
    <w:rsid w:val="0CB853FE"/>
    <w:rsid w:val="0CC2048C"/>
    <w:rsid w:val="0CC81963"/>
    <w:rsid w:val="0CD56982"/>
    <w:rsid w:val="0CE358B1"/>
    <w:rsid w:val="0CEA756D"/>
    <w:rsid w:val="0CF83D49"/>
    <w:rsid w:val="0D0071DB"/>
    <w:rsid w:val="0D0333C6"/>
    <w:rsid w:val="0D131DE8"/>
    <w:rsid w:val="0D133B23"/>
    <w:rsid w:val="0D410B2B"/>
    <w:rsid w:val="0D485FA3"/>
    <w:rsid w:val="0D550241"/>
    <w:rsid w:val="0D5A451E"/>
    <w:rsid w:val="0D700226"/>
    <w:rsid w:val="0D795EEE"/>
    <w:rsid w:val="0D7D3F9C"/>
    <w:rsid w:val="0D955B9A"/>
    <w:rsid w:val="0D971F49"/>
    <w:rsid w:val="0D9D63CD"/>
    <w:rsid w:val="0DA21281"/>
    <w:rsid w:val="0DA26899"/>
    <w:rsid w:val="0DAD5BD5"/>
    <w:rsid w:val="0DBC0433"/>
    <w:rsid w:val="0DC26804"/>
    <w:rsid w:val="0DC669B4"/>
    <w:rsid w:val="0DD55BCF"/>
    <w:rsid w:val="0DDB345C"/>
    <w:rsid w:val="0DE85F6B"/>
    <w:rsid w:val="0DFE43EE"/>
    <w:rsid w:val="0E0079D3"/>
    <w:rsid w:val="0E027FAA"/>
    <w:rsid w:val="0E060238"/>
    <w:rsid w:val="0E190A57"/>
    <w:rsid w:val="0E1941D4"/>
    <w:rsid w:val="0E1C3EEB"/>
    <w:rsid w:val="0E1E7B7C"/>
    <w:rsid w:val="0E2502C9"/>
    <w:rsid w:val="0E381B6C"/>
    <w:rsid w:val="0E382066"/>
    <w:rsid w:val="0E535C2B"/>
    <w:rsid w:val="0E624B82"/>
    <w:rsid w:val="0E645DCB"/>
    <w:rsid w:val="0E6E4BDC"/>
    <w:rsid w:val="0E830CFE"/>
    <w:rsid w:val="0E96093C"/>
    <w:rsid w:val="0E9B38E6"/>
    <w:rsid w:val="0EA61335"/>
    <w:rsid w:val="0EB57F55"/>
    <w:rsid w:val="0EC544AC"/>
    <w:rsid w:val="0ECA0054"/>
    <w:rsid w:val="0ED3424B"/>
    <w:rsid w:val="0ED471CA"/>
    <w:rsid w:val="0EE75B4A"/>
    <w:rsid w:val="0EF27DAA"/>
    <w:rsid w:val="0F071CC1"/>
    <w:rsid w:val="0F16096A"/>
    <w:rsid w:val="0F1A1E7B"/>
    <w:rsid w:val="0F1E0EC4"/>
    <w:rsid w:val="0F203235"/>
    <w:rsid w:val="0F404A5D"/>
    <w:rsid w:val="0F47341E"/>
    <w:rsid w:val="0F4A1849"/>
    <w:rsid w:val="0F4B43DC"/>
    <w:rsid w:val="0F4E223C"/>
    <w:rsid w:val="0F4F280C"/>
    <w:rsid w:val="0F53236D"/>
    <w:rsid w:val="0F5A4B2F"/>
    <w:rsid w:val="0F5B03CB"/>
    <w:rsid w:val="0F6050C6"/>
    <w:rsid w:val="0F7130E9"/>
    <w:rsid w:val="0F74640D"/>
    <w:rsid w:val="0F7E58CF"/>
    <w:rsid w:val="0F851A01"/>
    <w:rsid w:val="0F932899"/>
    <w:rsid w:val="0F960A15"/>
    <w:rsid w:val="0FA36F1E"/>
    <w:rsid w:val="0FBA4A3B"/>
    <w:rsid w:val="0FC51F62"/>
    <w:rsid w:val="0FCD3522"/>
    <w:rsid w:val="0FCF6080"/>
    <w:rsid w:val="0FCF6FE9"/>
    <w:rsid w:val="0FDD3834"/>
    <w:rsid w:val="0FE1474E"/>
    <w:rsid w:val="0FE365E2"/>
    <w:rsid w:val="0FEC01E1"/>
    <w:rsid w:val="1012269D"/>
    <w:rsid w:val="10133520"/>
    <w:rsid w:val="101C7B71"/>
    <w:rsid w:val="10212508"/>
    <w:rsid w:val="10286391"/>
    <w:rsid w:val="102A10EA"/>
    <w:rsid w:val="10311DAA"/>
    <w:rsid w:val="1038553A"/>
    <w:rsid w:val="10487702"/>
    <w:rsid w:val="10680FBE"/>
    <w:rsid w:val="106F1888"/>
    <w:rsid w:val="10703E62"/>
    <w:rsid w:val="10742C19"/>
    <w:rsid w:val="10764EA6"/>
    <w:rsid w:val="107A1E7A"/>
    <w:rsid w:val="10807CC3"/>
    <w:rsid w:val="108A64EE"/>
    <w:rsid w:val="109B5E14"/>
    <w:rsid w:val="10B36B7F"/>
    <w:rsid w:val="10BC3AEF"/>
    <w:rsid w:val="10CD3ABB"/>
    <w:rsid w:val="10E43524"/>
    <w:rsid w:val="10E74944"/>
    <w:rsid w:val="10F47303"/>
    <w:rsid w:val="112027F8"/>
    <w:rsid w:val="112545B4"/>
    <w:rsid w:val="1125734B"/>
    <w:rsid w:val="112A3965"/>
    <w:rsid w:val="1138741F"/>
    <w:rsid w:val="113B5DD7"/>
    <w:rsid w:val="1147455B"/>
    <w:rsid w:val="115D343B"/>
    <w:rsid w:val="11664EE7"/>
    <w:rsid w:val="116716F8"/>
    <w:rsid w:val="11683AE7"/>
    <w:rsid w:val="116B16D9"/>
    <w:rsid w:val="1172113E"/>
    <w:rsid w:val="11862529"/>
    <w:rsid w:val="11900D0D"/>
    <w:rsid w:val="11930B18"/>
    <w:rsid w:val="11946686"/>
    <w:rsid w:val="119E4A4A"/>
    <w:rsid w:val="119F34D3"/>
    <w:rsid w:val="11AF2858"/>
    <w:rsid w:val="11BD532F"/>
    <w:rsid w:val="11C62DBB"/>
    <w:rsid w:val="11CF6FE1"/>
    <w:rsid w:val="11D541AC"/>
    <w:rsid w:val="11D707BE"/>
    <w:rsid w:val="11D755DF"/>
    <w:rsid w:val="11EA7992"/>
    <w:rsid w:val="11FA0BDC"/>
    <w:rsid w:val="11FB5943"/>
    <w:rsid w:val="12004173"/>
    <w:rsid w:val="12041E43"/>
    <w:rsid w:val="120C027A"/>
    <w:rsid w:val="120E5673"/>
    <w:rsid w:val="12190917"/>
    <w:rsid w:val="12216661"/>
    <w:rsid w:val="12296EC8"/>
    <w:rsid w:val="12314ECC"/>
    <w:rsid w:val="12316033"/>
    <w:rsid w:val="1238760E"/>
    <w:rsid w:val="123C7CBD"/>
    <w:rsid w:val="123D4B4B"/>
    <w:rsid w:val="123E2977"/>
    <w:rsid w:val="123E4FD8"/>
    <w:rsid w:val="125E2C18"/>
    <w:rsid w:val="126B4FF2"/>
    <w:rsid w:val="126D69A2"/>
    <w:rsid w:val="12727CA7"/>
    <w:rsid w:val="12770379"/>
    <w:rsid w:val="12790947"/>
    <w:rsid w:val="127E26CB"/>
    <w:rsid w:val="127E2B08"/>
    <w:rsid w:val="128930FF"/>
    <w:rsid w:val="12957BFD"/>
    <w:rsid w:val="12A103FB"/>
    <w:rsid w:val="12AF2AB0"/>
    <w:rsid w:val="12BC579D"/>
    <w:rsid w:val="12E112BB"/>
    <w:rsid w:val="12E516F5"/>
    <w:rsid w:val="13044D99"/>
    <w:rsid w:val="131C15CD"/>
    <w:rsid w:val="132750B4"/>
    <w:rsid w:val="133978CE"/>
    <w:rsid w:val="133F4B2E"/>
    <w:rsid w:val="134375A5"/>
    <w:rsid w:val="13496E82"/>
    <w:rsid w:val="134A3BB5"/>
    <w:rsid w:val="13580BF5"/>
    <w:rsid w:val="135973BC"/>
    <w:rsid w:val="135A7F4A"/>
    <w:rsid w:val="135B7CEE"/>
    <w:rsid w:val="135D0A64"/>
    <w:rsid w:val="13680989"/>
    <w:rsid w:val="137F40E4"/>
    <w:rsid w:val="1387576D"/>
    <w:rsid w:val="1388111E"/>
    <w:rsid w:val="13957E57"/>
    <w:rsid w:val="13AE45EE"/>
    <w:rsid w:val="13B94351"/>
    <w:rsid w:val="13C56A08"/>
    <w:rsid w:val="13C7551C"/>
    <w:rsid w:val="13D90205"/>
    <w:rsid w:val="13D93F8C"/>
    <w:rsid w:val="13DC4F53"/>
    <w:rsid w:val="13EC4853"/>
    <w:rsid w:val="13F06730"/>
    <w:rsid w:val="13FE3CA5"/>
    <w:rsid w:val="14174896"/>
    <w:rsid w:val="141B759C"/>
    <w:rsid w:val="142D0B61"/>
    <w:rsid w:val="142E4236"/>
    <w:rsid w:val="143013BE"/>
    <w:rsid w:val="1445743D"/>
    <w:rsid w:val="145123C9"/>
    <w:rsid w:val="14523BF3"/>
    <w:rsid w:val="14572C0C"/>
    <w:rsid w:val="14600BF0"/>
    <w:rsid w:val="146A2894"/>
    <w:rsid w:val="14714610"/>
    <w:rsid w:val="14793341"/>
    <w:rsid w:val="14796975"/>
    <w:rsid w:val="14807101"/>
    <w:rsid w:val="149E5DEA"/>
    <w:rsid w:val="14C6073B"/>
    <w:rsid w:val="14D926FC"/>
    <w:rsid w:val="14DE1293"/>
    <w:rsid w:val="14E22D3E"/>
    <w:rsid w:val="14FE5182"/>
    <w:rsid w:val="15075976"/>
    <w:rsid w:val="15116147"/>
    <w:rsid w:val="15176FF5"/>
    <w:rsid w:val="151809F0"/>
    <w:rsid w:val="151E2D66"/>
    <w:rsid w:val="15333F63"/>
    <w:rsid w:val="15401134"/>
    <w:rsid w:val="15465C3E"/>
    <w:rsid w:val="155F47AE"/>
    <w:rsid w:val="15625222"/>
    <w:rsid w:val="15684561"/>
    <w:rsid w:val="15795ADC"/>
    <w:rsid w:val="158433BF"/>
    <w:rsid w:val="1594189C"/>
    <w:rsid w:val="15975B80"/>
    <w:rsid w:val="15A11A72"/>
    <w:rsid w:val="15A37407"/>
    <w:rsid w:val="15AF79F0"/>
    <w:rsid w:val="15BB74BC"/>
    <w:rsid w:val="15C7369C"/>
    <w:rsid w:val="15C87C92"/>
    <w:rsid w:val="15CA2967"/>
    <w:rsid w:val="15D626C0"/>
    <w:rsid w:val="15D8506F"/>
    <w:rsid w:val="15D91C43"/>
    <w:rsid w:val="15D94D6D"/>
    <w:rsid w:val="15DF0CF3"/>
    <w:rsid w:val="15EB76BA"/>
    <w:rsid w:val="15F8728C"/>
    <w:rsid w:val="15F97AA3"/>
    <w:rsid w:val="15FD1797"/>
    <w:rsid w:val="16091895"/>
    <w:rsid w:val="160B5204"/>
    <w:rsid w:val="160D7947"/>
    <w:rsid w:val="161452AD"/>
    <w:rsid w:val="16152DA7"/>
    <w:rsid w:val="161D2D77"/>
    <w:rsid w:val="16331C36"/>
    <w:rsid w:val="1637313F"/>
    <w:rsid w:val="163C0061"/>
    <w:rsid w:val="16506EE3"/>
    <w:rsid w:val="16552013"/>
    <w:rsid w:val="1656141B"/>
    <w:rsid w:val="1679225E"/>
    <w:rsid w:val="167D10CB"/>
    <w:rsid w:val="167F2009"/>
    <w:rsid w:val="168A4C34"/>
    <w:rsid w:val="16912DDC"/>
    <w:rsid w:val="1692133E"/>
    <w:rsid w:val="16987459"/>
    <w:rsid w:val="16B1019E"/>
    <w:rsid w:val="16B87E1A"/>
    <w:rsid w:val="16BE72F8"/>
    <w:rsid w:val="16C1013E"/>
    <w:rsid w:val="16DF7F84"/>
    <w:rsid w:val="16F1185F"/>
    <w:rsid w:val="16F60A87"/>
    <w:rsid w:val="17186375"/>
    <w:rsid w:val="171D1574"/>
    <w:rsid w:val="1723404E"/>
    <w:rsid w:val="1724545E"/>
    <w:rsid w:val="17352439"/>
    <w:rsid w:val="173E04B2"/>
    <w:rsid w:val="174074EE"/>
    <w:rsid w:val="1743314C"/>
    <w:rsid w:val="17482459"/>
    <w:rsid w:val="17542FA9"/>
    <w:rsid w:val="17545DBF"/>
    <w:rsid w:val="17575964"/>
    <w:rsid w:val="17582D97"/>
    <w:rsid w:val="17643119"/>
    <w:rsid w:val="17644832"/>
    <w:rsid w:val="176903E0"/>
    <w:rsid w:val="17724CDB"/>
    <w:rsid w:val="177D02D1"/>
    <w:rsid w:val="17833E31"/>
    <w:rsid w:val="17891B04"/>
    <w:rsid w:val="17921473"/>
    <w:rsid w:val="17944355"/>
    <w:rsid w:val="17A7599C"/>
    <w:rsid w:val="17CE05B6"/>
    <w:rsid w:val="17CF1FEC"/>
    <w:rsid w:val="17D1652A"/>
    <w:rsid w:val="17DA0915"/>
    <w:rsid w:val="17E40ACE"/>
    <w:rsid w:val="17EB7835"/>
    <w:rsid w:val="17FB49B6"/>
    <w:rsid w:val="17FC35E4"/>
    <w:rsid w:val="180F3781"/>
    <w:rsid w:val="181319BD"/>
    <w:rsid w:val="181707FC"/>
    <w:rsid w:val="181B4AA6"/>
    <w:rsid w:val="181D082F"/>
    <w:rsid w:val="181E46E9"/>
    <w:rsid w:val="1825451B"/>
    <w:rsid w:val="18276B44"/>
    <w:rsid w:val="182B7E38"/>
    <w:rsid w:val="182C5BE8"/>
    <w:rsid w:val="183A6075"/>
    <w:rsid w:val="183B5899"/>
    <w:rsid w:val="183F0BB5"/>
    <w:rsid w:val="18406F0D"/>
    <w:rsid w:val="1842207F"/>
    <w:rsid w:val="18550F89"/>
    <w:rsid w:val="185F69F5"/>
    <w:rsid w:val="18614758"/>
    <w:rsid w:val="18621216"/>
    <w:rsid w:val="18624E9C"/>
    <w:rsid w:val="186369FA"/>
    <w:rsid w:val="18652513"/>
    <w:rsid w:val="186749F7"/>
    <w:rsid w:val="18694B78"/>
    <w:rsid w:val="18824762"/>
    <w:rsid w:val="189276B0"/>
    <w:rsid w:val="18961DEC"/>
    <w:rsid w:val="18A674EC"/>
    <w:rsid w:val="18C65CF6"/>
    <w:rsid w:val="18C775AE"/>
    <w:rsid w:val="18C80031"/>
    <w:rsid w:val="18C8486F"/>
    <w:rsid w:val="18CF6B64"/>
    <w:rsid w:val="18D55FEF"/>
    <w:rsid w:val="18DC4BB4"/>
    <w:rsid w:val="18E43A0F"/>
    <w:rsid w:val="18ED25E4"/>
    <w:rsid w:val="18F25705"/>
    <w:rsid w:val="18F66BC3"/>
    <w:rsid w:val="18F97631"/>
    <w:rsid w:val="190077F4"/>
    <w:rsid w:val="191331F8"/>
    <w:rsid w:val="191E0C0D"/>
    <w:rsid w:val="19241D0A"/>
    <w:rsid w:val="19345247"/>
    <w:rsid w:val="193A7806"/>
    <w:rsid w:val="19557D5B"/>
    <w:rsid w:val="195911CE"/>
    <w:rsid w:val="195C3D07"/>
    <w:rsid w:val="19626360"/>
    <w:rsid w:val="196355C4"/>
    <w:rsid w:val="19695173"/>
    <w:rsid w:val="19710ECF"/>
    <w:rsid w:val="19813FA3"/>
    <w:rsid w:val="198B7DB3"/>
    <w:rsid w:val="199B182F"/>
    <w:rsid w:val="199B2BFF"/>
    <w:rsid w:val="199E3D5F"/>
    <w:rsid w:val="19AC4ED1"/>
    <w:rsid w:val="19AF6DEC"/>
    <w:rsid w:val="19C6238D"/>
    <w:rsid w:val="19D07E00"/>
    <w:rsid w:val="19DE1B44"/>
    <w:rsid w:val="19E01AD3"/>
    <w:rsid w:val="19E2218C"/>
    <w:rsid w:val="19EF3997"/>
    <w:rsid w:val="19F43585"/>
    <w:rsid w:val="19FA4850"/>
    <w:rsid w:val="1A015697"/>
    <w:rsid w:val="1A177CB8"/>
    <w:rsid w:val="1A18021D"/>
    <w:rsid w:val="1A33143C"/>
    <w:rsid w:val="1A501901"/>
    <w:rsid w:val="1A671C7B"/>
    <w:rsid w:val="1A854CFC"/>
    <w:rsid w:val="1A856D90"/>
    <w:rsid w:val="1A8C4963"/>
    <w:rsid w:val="1A992565"/>
    <w:rsid w:val="1AA56CB7"/>
    <w:rsid w:val="1AB474EA"/>
    <w:rsid w:val="1ACB11CE"/>
    <w:rsid w:val="1ACB1BBA"/>
    <w:rsid w:val="1AD570EE"/>
    <w:rsid w:val="1AF51C48"/>
    <w:rsid w:val="1AF851FC"/>
    <w:rsid w:val="1AF9037E"/>
    <w:rsid w:val="1AFB2EDD"/>
    <w:rsid w:val="1B035D37"/>
    <w:rsid w:val="1B0818C3"/>
    <w:rsid w:val="1B2039B9"/>
    <w:rsid w:val="1B242C23"/>
    <w:rsid w:val="1B463D25"/>
    <w:rsid w:val="1B4902E2"/>
    <w:rsid w:val="1B540F37"/>
    <w:rsid w:val="1B611853"/>
    <w:rsid w:val="1B6D5E64"/>
    <w:rsid w:val="1B754D28"/>
    <w:rsid w:val="1B807D0F"/>
    <w:rsid w:val="1B855AE8"/>
    <w:rsid w:val="1B8672E9"/>
    <w:rsid w:val="1BAE33B0"/>
    <w:rsid w:val="1BAE76EF"/>
    <w:rsid w:val="1BB748BC"/>
    <w:rsid w:val="1BBE4355"/>
    <w:rsid w:val="1BC853AD"/>
    <w:rsid w:val="1BD4565B"/>
    <w:rsid w:val="1BEC5A16"/>
    <w:rsid w:val="1BFB4916"/>
    <w:rsid w:val="1BFF7AA8"/>
    <w:rsid w:val="1C1067BF"/>
    <w:rsid w:val="1C137825"/>
    <w:rsid w:val="1C256874"/>
    <w:rsid w:val="1C3339FE"/>
    <w:rsid w:val="1C5C4B34"/>
    <w:rsid w:val="1C5D4DEE"/>
    <w:rsid w:val="1C5E5875"/>
    <w:rsid w:val="1C6419A8"/>
    <w:rsid w:val="1C6D652F"/>
    <w:rsid w:val="1C791F4D"/>
    <w:rsid w:val="1C856F8A"/>
    <w:rsid w:val="1C9046DA"/>
    <w:rsid w:val="1C975002"/>
    <w:rsid w:val="1CA1463B"/>
    <w:rsid w:val="1CB110D7"/>
    <w:rsid w:val="1CB767EC"/>
    <w:rsid w:val="1CC61A56"/>
    <w:rsid w:val="1CC82BD1"/>
    <w:rsid w:val="1CD45A87"/>
    <w:rsid w:val="1CD46B6D"/>
    <w:rsid w:val="1CD83A87"/>
    <w:rsid w:val="1CD958F1"/>
    <w:rsid w:val="1CF172F4"/>
    <w:rsid w:val="1D1F5719"/>
    <w:rsid w:val="1D2267DD"/>
    <w:rsid w:val="1D326036"/>
    <w:rsid w:val="1D357E68"/>
    <w:rsid w:val="1D360F2F"/>
    <w:rsid w:val="1D39600A"/>
    <w:rsid w:val="1D5A3481"/>
    <w:rsid w:val="1D5D6726"/>
    <w:rsid w:val="1D66386F"/>
    <w:rsid w:val="1D6F55CE"/>
    <w:rsid w:val="1D7408BC"/>
    <w:rsid w:val="1D970A38"/>
    <w:rsid w:val="1DA82CB7"/>
    <w:rsid w:val="1DB464C5"/>
    <w:rsid w:val="1DCF5231"/>
    <w:rsid w:val="1DD52788"/>
    <w:rsid w:val="1DD91B71"/>
    <w:rsid w:val="1DDB2039"/>
    <w:rsid w:val="1DE74241"/>
    <w:rsid w:val="1DFF61AA"/>
    <w:rsid w:val="1E08784B"/>
    <w:rsid w:val="1E0F5C69"/>
    <w:rsid w:val="1E317CF5"/>
    <w:rsid w:val="1E323F75"/>
    <w:rsid w:val="1E54375F"/>
    <w:rsid w:val="1E735C1F"/>
    <w:rsid w:val="1E84478D"/>
    <w:rsid w:val="1E9D26C5"/>
    <w:rsid w:val="1EA023A7"/>
    <w:rsid w:val="1EB066F7"/>
    <w:rsid w:val="1EB11D18"/>
    <w:rsid w:val="1EB130A7"/>
    <w:rsid w:val="1EC475E8"/>
    <w:rsid w:val="1ECA1F0E"/>
    <w:rsid w:val="1ECE70E8"/>
    <w:rsid w:val="1EDB4D70"/>
    <w:rsid w:val="1EE26121"/>
    <w:rsid w:val="1EFC1898"/>
    <w:rsid w:val="1F145076"/>
    <w:rsid w:val="1F1512C1"/>
    <w:rsid w:val="1F2369FF"/>
    <w:rsid w:val="1F2A450E"/>
    <w:rsid w:val="1F2F0804"/>
    <w:rsid w:val="1F367857"/>
    <w:rsid w:val="1F4B5919"/>
    <w:rsid w:val="1F57484F"/>
    <w:rsid w:val="1F595893"/>
    <w:rsid w:val="1F6568C5"/>
    <w:rsid w:val="1F6F0812"/>
    <w:rsid w:val="1F75506D"/>
    <w:rsid w:val="1F756076"/>
    <w:rsid w:val="1F895859"/>
    <w:rsid w:val="1F903E3E"/>
    <w:rsid w:val="1F9A59D2"/>
    <w:rsid w:val="1FA17BA5"/>
    <w:rsid w:val="1FAF3539"/>
    <w:rsid w:val="1FB85C43"/>
    <w:rsid w:val="1FBA41E5"/>
    <w:rsid w:val="1FCD141F"/>
    <w:rsid w:val="1FDD22FB"/>
    <w:rsid w:val="1FE121FD"/>
    <w:rsid w:val="1FE27147"/>
    <w:rsid w:val="1FEE67B9"/>
    <w:rsid w:val="200111A2"/>
    <w:rsid w:val="200270A6"/>
    <w:rsid w:val="20067EE8"/>
    <w:rsid w:val="200E07DB"/>
    <w:rsid w:val="201670E5"/>
    <w:rsid w:val="201834E4"/>
    <w:rsid w:val="201E6C74"/>
    <w:rsid w:val="2023703C"/>
    <w:rsid w:val="20327BBA"/>
    <w:rsid w:val="20362FBA"/>
    <w:rsid w:val="20382F5E"/>
    <w:rsid w:val="20486D11"/>
    <w:rsid w:val="205C77A6"/>
    <w:rsid w:val="2061787F"/>
    <w:rsid w:val="20642430"/>
    <w:rsid w:val="2065503C"/>
    <w:rsid w:val="20700B3D"/>
    <w:rsid w:val="207F2647"/>
    <w:rsid w:val="209052D9"/>
    <w:rsid w:val="20941D34"/>
    <w:rsid w:val="209D0129"/>
    <w:rsid w:val="209F39BC"/>
    <w:rsid w:val="20A34C10"/>
    <w:rsid w:val="20AD3E3C"/>
    <w:rsid w:val="20B06AF2"/>
    <w:rsid w:val="20B73881"/>
    <w:rsid w:val="20BC7A73"/>
    <w:rsid w:val="20C33BAB"/>
    <w:rsid w:val="20E75BBE"/>
    <w:rsid w:val="20E90A4D"/>
    <w:rsid w:val="20F0339A"/>
    <w:rsid w:val="20F95DF1"/>
    <w:rsid w:val="20FC6275"/>
    <w:rsid w:val="21401AB6"/>
    <w:rsid w:val="21542C94"/>
    <w:rsid w:val="215A1DBB"/>
    <w:rsid w:val="21622BD9"/>
    <w:rsid w:val="216329A2"/>
    <w:rsid w:val="216C5084"/>
    <w:rsid w:val="216F27DD"/>
    <w:rsid w:val="218C78DD"/>
    <w:rsid w:val="2190618E"/>
    <w:rsid w:val="219A620A"/>
    <w:rsid w:val="21A142FF"/>
    <w:rsid w:val="21A912EC"/>
    <w:rsid w:val="21B506EF"/>
    <w:rsid w:val="21BC625C"/>
    <w:rsid w:val="21C352C4"/>
    <w:rsid w:val="21D91540"/>
    <w:rsid w:val="21E61AC2"/>
    <w:rsid w:val="21F00E91"/>
    <w:rsid w:val="21FF7C9D"/>
    <w:rsid w:val="22016305"/>
    <w:rsid w:val="2206258C"/>
    <w:rsid w:val="221B75D9"/>
    <w:rsid w:val="22232DB9"/>
    <w:rsid w:val="222D0F13"/>
    <w:rsid w:val="223E19AA"/>
    <w:rsid w:val="224444F7"/>
    <w:rsid w:val="224A0E97"/>
    <w:rsid w:val="224C18C1"/>
    <w:rsid w:val="22614778"/>
    <w:rsid w:val="22616132"/>
    <w:rsid w:val="226406DC"/>
    <w:rsid w:val="226C5A79"/>
    <w:rsid w:val="227A0A31"/>
    <w:rsid w:val="22A12BB0"/>
    <w:rsid w:val="22A41C25"/>
    <w:rsid w:val="22A802AA"/>
    <w:rsid w:val="22B02DD8"/>
    <w:rsid w:val="22C40970"/>
    <w:rsid w:val="22C54251"/>
    <w:rsid w:val="22D01DA1"/>
    <w:rsid w:val="22DA743E"/>
    <w:rsid w:val="22E15E6B"/>
    <w:rsid w:val="22E66842"/>
    <w:rsid w:val="22EF372B"/>
    <w:rsid w:val="22F61B61"/>
    <w:rsid w:val="23050E49"/>
    <w:rsid w:val="23142991"/>
    <w:rsid w:val="23243ABB"/>
    <w:rsid w:val="23367743"/>
    <w:rsid w:val="2344335D"/>
    <w:rsid w:val="2348119D"/>
    <w:rsid w:val="23505101"/>
    <w:rsid w:val="2359632D"/>
    <w:rsid w:val="237C1E66"/>
    <w:rsid w:val="237D41BE"/>
    <w:rsid w:val="2381770D"/>
    <w:rsid w:val="23980B1F"/>
    <w:rsid w:val="23A146D3"/>
    <w:rsid w:val="23A86AAC"/>
    <w:rsid w:val="23B454E1"/>
    <w:rsid w:val="23B9340A"/>
    <w:rsid w:val="23BA5A7C"/>
    <w:rsid w:val="23E726D5"/>
    <w:rsid w:val="23EE3ADA"/>
    <w:rsid w:val="23F32D37"/>
    <w:rsid w:val="23F44D98"/>
    <w:rsid w:val="24035DDC"/>
    <w:rsid w:val="240B5834"/>
    <w:rsid w:val="240C0783"/>
    <w:rsid w:val="24202CC1"/>
    <w:rsid w:val="243246BD"/>
    <w:rsid w:val="244F2A63"/>
    <w:rsid w:val="24521594"/>
    <w:rsid w:val="24650FE2"/>
    <w:rsid w:val="24724573"/>
    <w:rsid w:val="247408EE"/>
    <w:rsid w:val="24752138"/>
    <w:rsid w:val="248B52FC"/>
    <w:rsid w:val="24962BFE"/>
    <w:rsid w:val="249B4FC3"/>
    <w:rsid w:val="249B61A5"/>
    <w:rsid w:val="24A73B04"/>
    <w:rsid w:val="24BC7145"/>
    <w:rsid w:val="24C65C06"/>
    <w:rsid w:val="24D07A67"/>
    <w:rsid w:val="24D60B15"/>
    <w:rsid w:val="24D72983"/>
    <w:rsid w:val="24DA5432"/>
    <w:rsid w:val="24E95754"/>
    <w:rsid w:val="24EA52E8"/>
    <w:rsid w:val="24F4686C"/>
    <w:rsid w:val="24FC7E44"/>
    <w:rsid w:val="25095E4D"/>
    <w:rsid w:val="25106827"/>
    <w:rsid w:val="251C550F"/>
    <w:rsid w:val="252613B7"/>
    <w:rsid w:val="252A56F4"/>
    <w:rsid w:val="25424024"/>
    <w:rsid w:val="25484AF8"/>
    <w:rsid w:val="254E20E2"/>
    <w:rsid w:val="25545ECF"/>
    <w:rsid w:val="258C113C"/>
    <w:rsid w:val="259312E0"/>
    <w:rsid w:val="25994D2A"/>
    <w:rsid w:val="259B4B44"/>
    <w:rsid w:val="25B16908"/>
    <w:rsid w:val="25BE4934"/>
    <w:rsid w:val="25D66E21"/>
    <w:rsid w:val="25E03E24"/>
    <w:rsid w:val="25E6364F"/>
    <w:rsid w:val="25F50496"/>
    <w:rsid w:val="25F97E4C"/>
    <w:rsid w:val="26082D9D"/>
    <w:rsid w:val="26090584"/>
    <w:rsid w:val="261C4494"/>
    <w:rsid w:val="261C7FDE"/>
    <w:rsid w:val="262144DA"/>
    <w:rsid w:val="262227BC"/>
    <w:rsid w:val="26266D6B"/>
    <w:rsid w:val="263303C1"/>
    <w:rsid w:val="263B52AB"/>
    <w:rsid w:val="26402532"/>
    <w:rsid w:val="26490388"/>
    <w:rsid w:val="264C43A1"/>
    <w:rsid w:val="2659304D"/>
    <w:rsid w:val="265F2163"/>
    <w:rsid w:val="268F42BA"/>
    <w:rsid w:val="26A374B7"/>
    <w:rsid w:val="26B162F1"/>
    <w:rsid w:val="26BA2662"/>
    <w:rsid w:val="26BE57A4"/>
    <w:rsid w:val="26CD2787"/>
    <w:rsid w:val="26D60EB3"/>
    <w:rsid w:val="26D83938"/>
    <w:rsid w:val="26D950A6"/>
    <w:rsid w:val="26DD09FE"/>
    <w:rsid w:val="26DD30E5"/>
    <w:rsid w:val="26E42647"/>
    <w:rsid w:val="26F962D5"/>
    <w:rsid w:val="26FE6389"/>
    <w:rsid w:val="27036AED"/>
    <w:rsid w:val="270801A5"/>
    <w:rsid w:val="27102A88"/>
    <w:rsid w:val="27197917"/>
    <w:rsid w:val="271E2775"/>
    <w:rsid w:val="272431FA"/>
    <w:rsid w:val="272463F7"/>
    <w:rsid w:val="272D4AA6"/>
    <w:rsid w:val="273940AB"/>
    <w:rsid w:val="273B41FE"/>
    <w:rsid w:val="27425AD0"/>
    <w:rsid w:val="2751539E"/>
    <w:rsid w:val="2755746B"/>
    <w:rsid w:val="27562287"/>
    <w:rsid w:val="2758510F"/>
    <w:rsid w:val="275D60A6"/>
    <w:rsid w:val="275F1B45"/>
    <w:rsid w:val="27650C75"/>
    <w:rsid w:val="276C023B"/>
    <w:rsid w:val="279C5207"/>
    <w:rsid w:val="27AA18E9"/>
    <w:rsid w:val="27C23D6D"/>
    <w:rsid w:val="27CB0BB9"/>
    <w:rsid w:val="27CD15CA"/>
    <w:rsid w:val="27E000C7"/>
    <w:rsid w:val="27ED1F55"/>
    <w:rsid w:val="27F6294B"/>
    <w:rsid w:val="28050925"/>
    <w:rsid w:val="281A6F00"/>
    <w:rsid w:val="282211D2"/>
    <w:rsid w:val="282B1C54"/>
    <w:rsid w:val="282B5ED9"/>
    <w:rsid w:val="28332C2C"/>
    <w:rsid w:val="283572C4"/>
    <w:rsid w:val="283C10D1"/>
    <w:rsid w:val="28450468"/>
    <w:rsid w:val="28455E2E"/>
    <w:rsid w:val="2857257A"/>
    <w:rsid w:val="28642FC2"/>
    <w:rsid w:val="28654F75"/>
    <w:rsid w:val="286D18F9"/>
    <w:rsid w:val="287F619C"/>
    <w:rsid w:val="288D7E78"/>
    <w:rsid w:val="289C0D47"/>
    <w:rsid w:val="28A346DC"/>
    <w:rsid w:val="28AA2A9F"/>
    <w:rsid w:val="28AE7A05"/>
    <w:rsid w:val="28B239FD"/>
    <w:rsid w:val="28B83686"/>
    <w:rsid w:val="28C64F03"/>
    <w:rsid w:val="28D83E52"/>
    <w:rsid w:val="28DB2967"/>
    <w:rsid w:val="28E40DFA"/>
    <w:rsid w:val="28F73CFC"/>
    <w:rsid w:val="29052723"/>
    <w:rsid w:val="291B1BB7"/>
    <w:rsid w:val="2928353B"/>
    <w:rsid w:val="29381A62"/>
    <w:rsid w:val="294227B8"/>
    <w:rsid w:val="2957344F"/>
    <w:rsid w:val="295B29CB"/>
    <w:rsid w:val="2963137E"/>
    <w:rsid w:val="29663E56"/>
    <w:rsid w:val="296D0A57"/>
    <w:rsid w:val="29775D6B"/>
    <w:rsid w:val="297840D8"/>
    <w:rsid w:val="298445EE"/>
    <w:rsid w:val="29910AA7"/>
    <w:rsid w:val="29972817"/>
    <w:rsid w:val="299A305B"/>
    <w:rsid w:val="299F6EF0"/>
    <w:rsid w:val="29A0667E"/>
    <w:rsid w:val="29A51258"/>
    <w:rsid w:val="29A60859"/>
    <w:rsid w:val="29B42E91"/>
    <w:rsid w:val="29B722F6"/>
    <w:rsid w:val="29C620B0"/>
    <w:rsid w:val="29D204A2"/>
    <w:rsid w:val="29D24A29"/>
    <w:rsid w:val="29EA3763"/>
    <w:rsid w:val="2A1E14A9"/>
    <w:rsid w:val="2A1E2242"/>
    <w:rsid w:val="2A1F433E"/>
    <w:rsid w:val="2A2253E4"/>
    <w:rsid w:val="2A27082B"/>
    <w:rsid w:val="2A2939E6"/>
    <w:rsid w:val="2A2B5E85"/>
    <w:rsid w:val="2A2F79FA"/>
    <w:rsid w:val="2A305AD0"/>
    <w:rsid w:val="2A35084B"/>
    <w:rsid w:val="2A4303B9"/>
    <w:rsid w:val="2A5012D5"/>
    <w:rsid w:val="2A565400"/>
    <w:rsid w:val="2A630A91"/>
    <w:rsid w:val="2A725204"/>
    <w:rsid w:val="2A847366"/>
    <w:rsid w:val="2A8A53A9"/>
    <w:rsid w:val="2A8F000F"/>
    <w:rsid w:val="2A911B7A"/>
    <w:rsid w:val="2A947F0F"/>
    <w:rsid w:val="2A95744E"/>
    <w:rsid w:val="2A9A7FCC"/>
    <w:rsid w:val="2A9E396D"/>
    <w:rsid w:val="2AA32EBD"/>
    <w:rsid w:val="2AAA5DDE"/>
    <w:rsid w:val="2AAB6A40"/>
    <w:rsid w:val="2ABF26BF"/>
    <w:rsid w:val="2ABF5139"/>
    <w:rsid w:val="2AC22BF8"/>
    <w:rsid w:val="2AC31398"/>
    <w:rsid w:val="2AD01974"/>
    <w:rsid w:val="2AE22BB0"/>
    <w:rsid w:val="2AE317D9"/>
    <w:rsid w:val="2AE63C77"/>
    <w:rsid w:val="2AF35E6A"/>
    <w:rsid w:val="2AFA68AA"/>
    <w:rsid w:val="2AFB6CDA"/>
    <w:rsid w:val="2AFE695B"/>
    <w:rsid w:val="2B03643C"/>
    <w:rsid w:val="2B051C4B"/>
    <w:rsid w:val="2B0E1551"/>
    <w:rsid w:val="2B0F1E99"/>
    <w:rsid w:val="2B1802B1"/>
    <w:rsid w:val="2B235D59"/>
    <w:rsid w:val="2B316768"/>
    <w:rsid w:val="2B326A79"/>
    <w:rsid w:val="2B3A1FA2"/>
    <w:rsid w:val="2B3B2C67"/>
    <w:rsid w:val="2B3C2249"/>
    <w:rsid w:val="2B472487"/>
    <w:rsid w:val="2B522B0B"/>
    <w:rsid w:val="2B67106F"/>
    <w:rsid w:val="2B695CC7"/>
    <w:rsid w:val="2B6A4D65"/>
    <w:rsid w:val="2B710808"/>
    <w:rsid w:val="2B722450"/>
    <w:rsid w:val="2B7259B4"/>
    <w:rsid w:val="2B767F2F"/>
    <w:rsid w:val="2B890374"/>
    <w:rsid w:val="2B9508C7"/>
    <w:rsid w:val="2B985429"/>
    <w:rsid w:val="2BCA5AFF"/>
    <w:rsid w:val="2BDC538E"/>
    <w:rsid w:val="2BEC43C9"/>
    <w:rsid w:val="2BEC7CF2"/>
    <w:rsid w:val="2BF21811"/>
    <w:rsid w:val="2BF806EE"/>
    <w:rsid w:val="2BFA6F32"/>
    <w:rsid w:val="2BFD228A"/>
    <w:rsid w:val="2C011969"/>
    <w:rsid w:val="2C036A4C"/>
    <w:rsid w:val="2C125CF0"/>
    <w:rsid w:val="2C1377AB"/>
    <w:rsid w:val="2C1E1B03"/>
    <w:rsid w:val="2C207EE6"/>
    <w:rsid w:val="2C217B8E"/>
    <w:rsid w:val="2C2C3260"/>
    <w:rsid w:val="2C316B24"/>
    <w:rsid w:val="2C342A57"/>
    <w:rsid w:val="2C3D5A61"/>
    <w:rsid w:val="2C48048C"/>
    <w:rsid w:val="2C5C1239"/>
    <w:rsid w:val="2C9C1B2D"/>
    <w:rsid w:val="2CA6490B"/>
    <w:rsid w:val="2CBB05BE"/>
    <w:rsid w:val="2CC81819"/>
    <w:rsid w:val="2CCD0622"/>
    <w:rsid w:val="2CE4315D"/>
    <w:rsid w:val="2CE81B8C"/>
    <w:rsid w:val="2D1C3358"/>
    <w:rsid w:val="2D2C68FF"/>
    <w:rsid w:val="2D4060F0"/>
    <w:rsid w:val="2D597B4A"/>
    <w:rsid w:val="2D6B0B4D"/>
    <w:rsid w:val="2D775442"/>
    <w:rsid w:val="2D787DD6"/>
    <w:rsid w:val="2D7C02BF"/>
    <w:rsid w:val="2D7E2D38"/>
    <w:rsid w:val="2D8846E9"/>
    <w:rsid w:val="2D8F1D44"/>
    <w:rsid w:val="2D981FD8"/>
    <w:rsid w:val="2D9A451C"/>
    <w:rsid w:val="2D9F0971"/>
    <w:rsid w:val="2DA86765"/>
    <w:rsid w:val="2DBD42BB"/>
    <w:rsid w:val="2DCE738C"/>
    <w:rsid w:val="2DD90DEA"/>
    <w:rsid w:val="2DE14C4C"/>
    <w:rsid w:val="2DE57F35"/>
    <w:rsid w:val="2DFA10EF"/>
    <w:rsid w:val="2E017D9D"/>
    <w:rsid w:val="2E053A34"/>
    <w:rsid w:val="2E067ECC"/>
    <w:rsid w:val="2E3178B6"/>
    <w:rsid w:val="2E3D435E"/>
    <w:rsid w:val="2E3F29DB"/>
    <w:rsid w:val="2E411D36"/>
    <w:rsid w:val="2E6D685E"/>
    <w:rsid w:val="2E6E5292"/>
    <w:rsid w:val="2E82523D"/>
    <w:rsid w:val="2E834887"/>
    <w:rsid w:val="2E8C262A"/>
    <w:rsid w:val="2E8F3C4A"/>
    <w:rsid w:val="2E910B15"/>
    <w:rsid w:val="2E947FEC"/>
    <w:rsid w:val="2EBD5ED6"/>
    <w:rsid w:val="2EC05E20"/>
    <w:rsid w:val="2EC224B9"/>
    <w:rsid w:val="2EC51246"/>
    <w:rsid w:val="2ED17082"/>
    <w:rsid w:val="2ED71CF5"/>
    <w:rsid w:val="2ED8635B"/>
    <w:rsid w:val="2EDD678B"/>
    <w:rsid w:val="2EE13F4E"/>
    <w:rsid w:val="2EE20A6F"/>
    <w:rsid w:val="2EE372CF"/>
    <w:rsid w:val="2EE8586C"/>
    <w:rsid w:val="2EF75B1D"/>
    <w:rsid w:val="2EFA135B"/>
    <w:rsid w:val="2EFC123C"/>
    <w:rsid w:val="2EFC1307"/>
    <w:rsid w:val="2F0E04ED"/>
    <w:rsid w:val="2F1D209A"/>
    <w:rsid w:val="2F29131F"/>
    <w:rsid w:val="2F321A1E"/>
    <w:rsid w:val="2F413F67"/>
    <w:rsid w:val="2F482703"/>
    <w:rsid w:val="2F4B7949"/>
    <w:rsid w:val="2F534C7A"/>
    <w:rsid w:val="2F583BB4"/>
    <w:rsid w:val="2F584DE6"/>
    <w:rsid w:val="2F724A26"/>
    <w:rsid w:val="2F77453F"/>
    <w:rsid w:val="2F7E3990"/>
    <w:rsid w:val="2F7F4B25"/>
    <w:rsid w:val="2F8B537D"/>
    <w:rsid w:val="2F912EAB"/>
    <w:rsid w:val="2F93476B"/>
    <w:rsid w:val="2F9509CA"/>
    <w:rsid w:val="2FAF7E73"/>
    <w:rsid w:val="2FB124C0"/>
    <w:rsid w:val="2FBB5E9D"/>
    <w:rsid w:val="2FBB68A5"/>
    <w:rsid w:val="2FBF26D7"/>
    <w:rsid w:val="2FCA305A"/>
    <w:rsid w:val="2FCA75D3"/>
    <w:rsid w:val="2FCF2577"/>
    <w:rsid w:val="2FD53CC0"/>
    <w:rsid w:val="2FD55127"/>
    <w:rsid w:val="2FE2134B"/>
    <w:rsid w:val="2FE47FAA"/>
    <w:rsid w:val="2FF57828"/>
    <w:rsid w:val="3012423B"/>
    <w:rsid w:val="30205052"/>
    <w:rsid w:val="302B00ED"/>
    <w:rsid w:val="30385A23"/>
    <w:rsid w:val="303B4825"/>
    <w:rsid w:val="303E5525"/>
    <w:rsid w:val="30440AFF"/>
    <w:rsid w:val="30551336"/>
    <w:rsid w:val="305F01C3"/>
    <w:rsid w:val="30716887"/>
    <w:rsid w:val="307900C0"/>
    <w:rsid w:val="308010E6"/>
    <w:rsid w:val="30841549"/>
    <w:rsid w:val="308B32E5"/>
    <w:rsid w:val="308E613D"/>
    <w:rsid w:val="30953AAD"/>
    <w:rsid w:val="309A294C"/>
    <w:rsid w:val="309C0AEC"/>
    <w:rsid w:val="30A2394A"/>
    <w:rsid w:val="30A32C85"/>
    <w:rsid w:val="30A94BC8"/>
    <w:rsid w:val="30AE6240"/>
    <w:rsid w:val="30E47083"/>
    <w:rsid w:val="30F0505C"/>
    <w:rsid w:val="30F37087"/>
    <w:rsid w:val="30F55506"/>
    <w:rsid w:val="31142785"/>
    <w:rsid w:val="31197EEC"/>
    <w:rsid w:val="31307E27"/>
    <w:rsid w:val="313A59D3"/>
    <w:rsid w:val="313B16D1"/>
    <w:rsid w:val="313C0C18"/>
    <w:rsid w:val="31612B40"/>
    <w:rsid w:val="316278CC"/>
    <w:rsid w:val="319D0F4C"/>
    <w:rsid w:val="31A91BFE"/>
    <w:rsid w:val="31C71085"/>
    <w:rsid w:val="31CD1CF4"/>
    <w:rsid w:val="31DC1841"/>
    <w:rsid w:val="31DF4110"/>
    <w:rsid w:val="31EC5770"/>
    <w:rsid w:val="31F567D1"/>
    <w:rsid w:val="31F85EC2"/>
    <w:rsid w:val="31FB409C"/>
    <w:rsid w:val="31FC45FB"/>
    <w:rsid w:val="32024094"/>
    <w:rsid w:val="320903A2"/>
    <w:rsid w:val="32094E94"/>
    <w:rsid w:val="320E0363"/>
    <w:rsid w:val="320E7399"/>
    <w:rsid w:val="321B4A5F"/>
    <w:rsid w:val="32206A17"/>
    <w:rsid w:val="3253031C"/>
    <w:rsid w:val="325334D7"/>
    <w:rsid w:val="327910B2"/>
    <w:rsid w:val="328C45C7"/>
    <w:rsid w:val="32B36266"/>
    <w:rsid w:val="32B56AF4"/>
    <w:rsid w:val="32B97A4B"/>
    <w:rsid w:val="32BC78D7"/>
    <w:rsid w:val="32E87437"/>
    <w:rsid w:val="32EC53E5"/>
    <w:rsid w:val="32FF4C51"/>
    <w:rsid w:val="330B42CD"/>
    <w:rsid w:val="33164DF4"/>
    <w:rsid w:val="331E26A6"/>
    <w:rsid w:val="3345651D"/>
    <w:rsid w:val="334A0530"/>
    <w:rsid w:val="335239B8"/>
    <w:rsid w:val="3354717A"/>
    <w:rsid w:val="337A03AB"/>
    <w:rsid w:val="3381164C"/>
    <w:rsid w:val="33842156"/>
    <w:rsid w:val="33A674E0"/>
    <w:rsid w:val="33B3712D"/>
    <w:rsid w:val="33B664C4"/>
    <w:rsid w:val="33C07DBE"/>
    <w:rsid w:val="33C47CC2"/>
    <w:rsid w:val="33C6356C"/>
    <w:rsid w:val="33CA65BA"/>
    <w:rsid w:val="33D14F9B"/>
    <w:rsid w:val="33D807FD"/>
    <w:rsid w:val="33F86650"/>
    <w:rsid w:val="33F930BF"/>
    <w:rsid w:val="341D08ED"/>
    <w:rsid w:val="341E4478"/>
    <w:rsid w:val="342E4F6B"/>
    <w:rsid w:val="345656C2"/>
    <w:rsid w:val="3472288A"/>
    <w:rsid w:val="348D458D"/>
    <w:rsid w:val="349A2E7D"/>
    <w:rsid w:val="34A46500"/>
    <w:rsid w:val="34A47ABF"/>
    <w:rsid w:val="34A63F34"/>
    <w:rsid w:val="34AF188E"/>
    <w:rsid w:val="34BB3580"/>
    <w:rsid w:val="34C141EC"/>
    <w:rsid w:val="34C260C7"/>
    <w:rsid w:val="34EB1B84"/>
    <w:rsid w:val="34FB2C00"/>
    <w:rsid w:val="350A34CF"/>
    <w:rsid w:val="351155B4"/>
    <w:rsid w:val="351512F8"/>
    <w:rsid w:val="351674A9"/>
    <w:rsid w:val="351C527B"/>
    <w:rsid w:val="351F7566"/>
    <w:rsid w:val="352E4E13"/>
    <w:rsid w:val="35360CCE"/>
    <w:rsid w:val="35374C19"/>
    <w:rsid w:val="35392467"/>
    <w:rsid w:val="353F343D"/>
    <w:rsid w:val="354F4AF5"/>
    <w:rsid w:val="355349DA"/>
    <w:rsid w:val="3560287C"/>
    <w:rsid w:val="3568044A"/>
    <w:rsid w:val="35797288"/>
    <w:rsid w:val="357F2433"/>
    <w:rsid w:val="3583083C"/>
    <w:rsid w:val="358866C4"/>
    <w:rsid w:val="358A3593"/>
    <w:rsid w:val="35946739"/>
    <w:rsid w:val="35953703"/>
    <w:rsid w:val="35982C6E"/>
    <w:rsid w:val="35A85005"/>
    <w:rsid w:val="35AF4FD6"/>
    <w:rsid w:val="35B24582"/>
    <w:rsid w:val="35BA30F1"/>
    <w:rsid w:val="35BA470A"/>
    <w:rsid w:val="35C45599"/>
    <w:rsid w:val="35D96F25"/>
    <w:rsid w:val="35E312DD"/>
    <w:rsid w:val="35E43FED"/>
    <w:rsid w:val="35EA36CD"/>
    <w:rsid w:val="35EB4109"/>
    <w:rsid w:val="360E7530"/>
    <w:rsid w:val="361F3579"/>
    <w:rsid w:val="36222DBB"/>
    <w:rsid w:val="36246F01"/>
    <w:rsid w:val="36281093"/>
    <w:rsid w:val="36383FF8"/>
    <w:rsid w:val="36387EEE"/>
    <w:rsid w:val="363D33ED"/>
    <w:rsid w:val="363E62B9"/>
    <w:rsid w:val="363F654B"/>
    <w:rsid w:val="36437135"/>
    <w:rsid w:val="364A771A"/>
    <w:rsid w:val="3650212F"/>
    <w:rsid w:val="365239B6"/>
    <w:rsid w:val="365848D4"/>
    <w:rsid w:val="365D0772"/>
    <w:rsid w:val="36750E75"/>
    <w:rsid w:val="367B1A24"/>
    <w:rsid w:val="368277C6"/>
    <w:rsid w:val="368E35DF"/>
    <w:rsid w:val="369347C8"/>
    <w:rsid w:val="3698688A"/>
    <w:rsid w:val="369A7744"/>
    <w:rsid w:val="36B422CB"/>
    <w:rsid w:val="36C711C9"/>
    <w:rsid w:val="36D205CA"/>
    <w:rsid w:val="36D36EE5"/>
    <w:rsid w:val="36D802AB"/>
    <w:rsid w:val="36E06090"/>
    <w:rsid w:val="36E77129"/>
    <w:rsid w:val="36EB7C46"/>
    <w:rsid w:val="37131C58"/>
    <w:rsid w:val="3717065F"/>
    <w:rsid w:val="371C795D"/>
    <w:rsid w:val="372238F7"/>
    <w:rsid w:val="37276E13"/>
    <w:rsid w:val="37364805"/>
    <w:rsid w:val="37382F04"/>
    <w:rsid w:val="374954B7"/>
    <w:rsid w:val="376828FD"/>
    <w:rsid w:val="37692A52"/>
    <w:rsid w:val="376A3752"/>
    <w:rsid w:val="376C1E69"/>
    <w:rsid w:val="37757470"/>
    <w:rsid w:val="377B697C"/>
    <w:rsid w:val="3788468E"/>
    <w:rsid w:val="378F3B70"/>
    <w:rsid w:val="379B16DE"/>
    <w:rsid w:val="37A25FBE"/>
    <w:rsid w:val="37A46FC2"/>
    <w:rsid w:val="37AF6485"/>
    <w:rsid w:val="37B662BA"/>
    <w:rsid w:val="37B947DD"/>
    <w:rsid w:val="37BC77F8"/>
    <w:rsid w:val="37BD61D3"/>
    <w:rsid w:val="37E1427F"/>
    <w:rsid w:val="37F94035"/>
    <w:rsid w:val="37FF623D"/>
    <w:rsid w:val="38031523"/>
    <w:rsid w:val="38115908"/>
    <w:rsid w:val="381225EF"/>
    <w:rsid w:val="381C0116"/>
    <w:rsid w:val="382D00FA"/>
    <w:rsid w:val="38380DBF"/>
    <w:rsid w:val="38400E61"/>
    <w:rsid w:val="38425703"/>
    <w:rsid w:val="38507BFF"/>
    <w:rsid w:val="385121E8"/>
    <w:rsid w:val="38526CC1"/>
    <w:rsid w:val="38660078"/>
    <w:rsid w:val="38664AAE"/>
    <w:rsid w:val="387959E4"/>
    <w:rsid w:val="387A1F68"/>
    <w:rsid w:val="387C3A44"/>
    <w:rsid w:val="387D1ECC"/>
    <w:rsid w:val="38A51D64"/>
    <w:rsid w:val="38A62FF4"/>
    <w:rsid w:val="38C60197"/>
    <w:rsid w:val="38C821D2"/>
    <w:rsid w:val="38F07B8F"/>
    <w:rsid w:val="38F63A5B"/>
    <w:rsid w:val="390062FD"/>
    <w:rsid w:val="390C509B"/>
    <w:rsid w:val="391170C3"/>
    <w:rsid w:val="391220EB"/>
    <w:rsid w:val="39153CFD"/>
    <w:rsid w:val="3918368B"/>
    <w:rsid w:val="391D5C13"/>
    <w:rsid w:val="39263587"/>
    <w:rsid w:val="394123B1"/>
    <w:rsid w:val="394261BF"/>
    <w:rsid w:val="3949006A"/>
    <w:rsid w:val="394C4B6D"/>
    <w:rsid w:val="3959173E"/>
    <w:rsid w:val="39673CEE"/>
    <w:rsid w:val="39755AFE"/>
    <w:rsid w:val="397713FC"/>
    <w:rsid w:val="397D7860"/>
    <w:rsid w:val="398510E3"/>
    <w:rsid w:val="398950D7"/>
    <w:rsid w:val="398C119F"/>
    <w:rsid w:val="398F3A8D"/>
    <w:rsid w:val="39AA42AB"/>
    <w:rsid w:val="39AB140E"/>
    <w:rsid w:val="39B02818"/>
    <w:rsid w:val="39C27552"/>
    <w:rsid w:val="39D219F0"/>
    <w:rsid w:val="39D77740"/>
    <w:rsid w:val="39F540AB"/>
    <w:rsid w:val="39F769BF"/>
    <w:rsid w:val="3A0312B3"/>
    <w:rsid w:val="3A0349B2"/>
    <w:rsid w:val="3A0D51D3"/>
    <w:rsid w:val="3A0D74DB"/>
    <w:rsid w:val="3A226C00"/>
    <w:rsid w:val="3A3142F2"/>
    <w:rsid w:val="3A351BB8"/>
    <w:rsid w:val="3A396F6B"/>
    <w:rsid w:val="3A3C0094"/>
    <w:rsid w:val="3A3F1B1C"/>
    <w:rsid w:val="3A5A26B3"/>
    <w:rsid w:val="3A6A0948"/>
    <w:rsid w:val="3A734213"/>
    <w:rsid w:val="3A73446A"/>
    <w:rsid w:val="3A771387"/>
    <w:rsid w:val="3A866052"/>
    <w:rsid w:val="3A881940"/>
    <w:rsid w:val="3A8917AE"/>
    <w:rsid w:val="3A9473CC"/>
    <w:rsid w:val="3AA65098"/>
    <w:rsid w:val="3AB10C22"/>
    <w:rsid w:val="3AB645B2"/>
    <w:rsid w:val="3AB676B8"/>
    <w:rsid w:val="3AEA20F2"/>
    <w:rsid w:val="3B104FCC"/>
    <w:rsid w:val="3B11642C"/>
    <w:rsid w:val="3B240DE3"/>
    <w:rsid w:val="3B2D0F81"/>
    <w:rsid w:val="3B523D11"/>
    <w:rsid w:val="3B5B57DF"/>
    <w:rsid w:val="3B6B4490"/>
    <w:rsid w:val="3B6D3AAE"/>
    <w:rsid w:val="3B6E5F8A"/>
    <w:rsid w:val="3B804211"/>
    <w:rsid w:val="3B855282"/>
    <w:rsid w:val="3B951005"/>
    <w:rsid w:val="3B98331C"/>
    <w:rsid w:val="3B9F13BC"/>
    <w:rsid w:val="3BA56A05"/>
    <w:rsid w:val="3BB34FAE"/>
    <w:rsid w:val="3BBE4D4F"/>
    <w:rsid w:val="3BBF4F1B"/>
    <w:rsid w:val="3BC3434D"/>
    <w:rsid w:val="3BC906BB"/>
    <w:rsid w:val="3BCC143C"/>
    <w:rsid w:val="3BCC615F"/>
    <w:rsid w:val="3BD82A79"/>
    <w:rsid w:val="3BDD7627"/>
    <w:rsid w:val="3BED3AE9"/>
    <w:rsid w:val="3BEF2C00"/>
    <w:rsid w:val="3BEF6CE0"/>
    <w:rsid w:val="3BF66BBA"/>
    <w:rsid w:val="3BFA6835"/>
    <w:rsid w:val="3C06408E"/>
    <w:rsid w:val="3C0D722F"/>
    <w:rsid w:val="3C1F5C9E"/>
    <w:rsid w:val="3C2143BC"/>
    <w:rsid w:val="3C437141"/>
    <w:rsid w:val="3C4F189B"/>
    <w:rsid w:val="3C620735"/>
    <w:rsid w:val="3C671E5F"/>
    <w:rsid w:val="3C6E08B5"/>
    <w:rsid w:val="3C7A3E7A"/>
    <w:rsid w:val="3C865828"/>
    <w:rsid w:val="3C89339A"/>
    <w:rsid w:val="3C8B475E"/>
    <w:rsid w:val="3C8B52B5"/>
    <w:rsid w:val="3C8E1279"/>
    <w:rsid w:val="3CA4276C"/>
    <w:rsid w:val="3CA628B2"/>
    <w:rsid w:val="3CAB2FC4"/>
    <w:rsid w:val="3CB50E23"/>
    <w:rsid w:val="3CB93716"/>
    <w:rsid w:val="3CBE0634"/>
    <w:rsid w:val="3CC94499"/>
    <w:rsid w:val="3CD75B2F"/>
    <w:rsid w:val="3CE42188"/>
    <w:rsid w:val="3CF50274"/>
    <w:rsid w:val="3CFD58E1"/>
    <w:rsid w:val="3CFF4EF8"/>
    <w:rsid w:val="3D11159E"/>
    <w:rsid w:val="3D116E12"/>
    <w:rsid w:val="3D1437E4"/>
    <w:rsid w:val="3D147D98"/>
    <w:rsid w:val="3D1667AE"/>
    <w:rsid w:val="3D2429E8"/>
    <w:rsid w:val="3D2B5DA2"/>
    <w:rsid w:val="3D2C7624"/>
    <w:rsid w:val="3D2E5D39"/>
    <w:rsid w:val="3D2E69E1"/>
    <w:rsid w:val="3D3244CF"/>
    <w:rsid w:val="3D3B3526"/>
    <w:rsid w:val="3D3D54C8"/>
    <w:rsid w:val="3D3E3333"/>
    <w:rsid w:val="3D4046E9"/>
    <w:rsid w:val="3D490B6D"/>
    <w:rsid w:val="3D4A655A"/>
    <w:rsid w:val="3D512B2A"/>
    <w:rsid w:val="3D687F98"/>
    <w:rsid w:val="3D817148"/>
    <w:rsid w:val="3D8444DE"/>
    <w:rsid w:val="3D895851"/>
    <w:rsid w:val="3DAB7558"/>
    <w:rsid w:val="3DCA6E8F"/>
    <w:rsid w:val="3DE05B12"/>
    <w:rsid w:val="3DE22AE7"/>
    <w:rsid w:val="3DE3653A"/>
    <w:rsid w:val="3DE37384"/>
    <w:rsid w:val="3DE85B40"/>
    <w:rsid w:val="3DF16BED"/>
    <w:rsid w:val="3DF5106E"/>
    <w:rsid w:val="3DF7616B"/>
    <w:rsid w:val="3E2B0719"/>
    <w:rsid w:val="3E353F0B"/>
    <w:rsid w:val="3E371F91"/>
    <w:rsid w:val="3E40362B"/>
    <w:rsid w:val="3E4332C6"/>
    <w:rsid w:val="3E497D23"/>
    <w:rsid w:val="3E4F4124"/>
    <w:rsid w:val="3E671648"/>
    <w:rsid w:val="3E7734C0"/>
    <w:rsid w:val="3E7C1FD2"/>
    <w:rsid w:val="3E976979"/>
    <w:rsid w:val="3E9867AE"/>
    <w:rsid w:val="3EA84E5B"/>
    <w:rsid w:val="3EAB159A"/>
    <w:rsid w:val="3EBC3031"/>
    <w:rsid w:val="3EC2210C"/>
    <w:rsid w:val="3EC67933"/>
    <w:rsid w:val="3ED875EF"/>
    <w:rsid w:val="3EDA3539"/>
    <w:rsid w:val="3EE16572"/>
    <w:rsid w:val="3EE63CF9"/>
    <w:rsid w:val="3EEA6638"/>
    <w:rsid w:val="3EF15B94"/>
    <w:rsid w:val="3EF21F05"/>
    <w:rsid w:val="3EF31B45"/>
    <w:rsid w:val="3EFF1A40"/>
    <w:rsid w:val="3F1C73DD"/>
    <w:rsid w:val="3F200A4E"/>
    <w:rsid w:val="3F283FEC"/>
    <w:rsid w:val="3F2D70F7"/>
    <w:rsid w:val="3F4F3B67"/>
    <w:rsid w:val="3F5638D5"/>
    <w:rsid w:val="3F613BAE"/>
    <w:rsid w:val="3F653F6A"/>
    <w:rsid w:val="3F6A35FD"/>
    <w:rsid w:val="3F6E5070"/>
    <w:rsid w:val="3F727743"/>
    <w:rsid w:val="3F727916"/>
    <w:rsid w:val="3F7C55B1"/>
    <w:rsid w:val="3F7E3CD0"/>
    <w:rsid w:val="3F952BA4"/>
    <w:rsid w:val="3F9A7F27"/>
    <w:rsid w:val="3FA276C7"/>
    <w:rsid w:val="3FA33635"/>
    <w:rsid w:val="3FB02A76"/>
    <w:rsid w:val="3FBD7ADC"/>
    <w:rsid w:val="3FC208E1"/>
    <w:rsid w:val="3FD57475"/>
    <w:rsid w:val="3FDF460D"/>
    <w:rsid w:val="3FEA2D0B"/>
    <w:rsid w:val="40183D2F"/>
    <w:rsid w:val="401F46FD"/>
    <w:rsid w:val="40294932"/>
    <w:rsid w:val="402A6F29"/>
    <w:rsid w:val="402B17D7"/>
    <w:rsid w:val="403621A3"/>
    <w:rsid w:val="40380591"/>
    <w:rsid w:val="40412C02"/>
    <w:rsid w:val="404345DE"/>
    <w:rsid w:val="405816E5"/>
    <w:rsid w:val="405D4239"/>
    <w:rsid w:val="405D6FF7"/>
    <w:rsid w:val="40742921"/>
    <w:rsid w:val="4076515A"/>
    <w:rsid w:val="40794165"/>
    <w:rsid w:val="407A1E8F"/>
    <w:rsid w:val="408402C4"/>
    <w:rsid w:val="40871E16"/>
    <w:rsid w:val="408A6214"/>
    <w:rsid w:val="408D1D4C"/>
    <w:rsid w:val="408F4520"/>
    <w:rsid w:val="40936D83"/>
    <w:rsid w:val="409F4A42"/>
    <w:rsid w:val="40A55B73"/>
    <w:rsid w:val="40AE26A1"/>
    <w:rsid w:val="40B7463C"/>
    <w:rsid w:val="40C24694"/>
    <w:rsid w:val="40C4313F"/>
    <w:rsid w:val="40C80050"/>
    <w:rsid w:val="40C84485"/>
    <w:rsid w:val="40CF4285"/>
    <w:rsid w:val="40D06839"/>
    <w:rsid w:val="40D23BD8"/>
    <w:rsid w:val="41024D32"/>
    <w:rsid w:val="41044050"/>
    <w:rsid w:val="410C49A9"/>
    <w:rsid w:val="410C6A6A"/>
    <w:rsid w:val="41181C50"/>
    <w:rsid w:val="41204AEE"/>
    <w:rsid w:val="41251B51"/>
    <w:rsid w:val="412F3B65"/>
    <w:rsid w:val="413F684E"/>
    <w:rsid w:val="41654A6F"/>
    <w:rsid w:val="417370FC"/>
    <w:rsid w:val="41764FF7"/>
    <w:rsid w:val="4176543F"/>
    <w:rsid w:val="41A37E95"/>
    <w:rsid w:val="41B2378B"/>
    <w:rsid w:val="41BB7672"/>
    <w:rsid w:val="41D2553F"/>
    <w:rsid w:val="41D42552"/>
    <w:rsid w:val="41F32B30"/>
    <w:rsid w:val="41FE016A"/>
    <w:rsid w:val="420558C9"/>
    <w:rsid w:val="42112A92"/>
    <w:rsid w:val="42192206"/>
    <w:rsid w:val="421A2408"/>
    <w:rsid w:val="422B004B"/>
    <w:rsid w:val="422E7620"/>
    <w:rsid w:val="42321C81"/>
    <w:rsid w:val="42421393"/>
    <w:rsid w:val="42442792"/>
    <w:rsid w:val="424D5BC5"/>
    <w:rsid w:val="42523EFA"/>
    <w:rsid w:val="425B4D2B"/>
    <w:rsid w:val="425C261E"/>
    <w:rsid w:val="4266769D"/>
    <w:rsid w:val="427009D0"/>
    <w:rsid w:val="427B3857"/>
    <w:rsid w:val="427E6207"/>
    <w:rsid w:val="42917ED6"/>
    <w:rsid w:val="42AB4F4A"/>
    <w:rsid w:val="42CC5B1B"/>
    <w:rsid w:val="42D27A40"/>
    <w:rsid w:val="42D81283"/>
    <w:rsid w:val="42DA494C"/>
    <w:rsid w:val="42F87A95"/>
    <w:rsid w:val="42FA663F"/>
    <w:rsid w:val="431E0983"/>
    <w:rsid w:val="43210C3C"/>
    <w:rsid w:val="433C5D76"/>
    <w:rsid w:val="433D7769"/>
    <w:rsid w:val="43443883"/>
    <w:rsid w:val="434D2972"/>
    <w:rsid w:val="43533BDA"/>
    <w:rsid w:val="43544176"/>
    <w:rsid w:val="43553B1B"/>
    <w:rsid w:val="43593EFE"/>
    <w:rsid w:val="435C1578"/>
    <w:rsid w:val="436D330F"/>
    <w:rsid w:val="436E01A9"/>
    <w:rsid w:val="436E7748"/>
    <w:rsid w:val="43712224"/>
    <w:rsid w:val="437D29CA"/>
    <w:rsid w:val="439427F3"/>
    <w:rsid w:val="43A85B09"/>
    <w:rsid w:val="43AE548D"/>
    <w:rsid w:val="43BC1FC6"/>
    <w:rsid w:val="43C24553"/>
    <w:rsid w:val="43C762D9"/>
    <w:rsid w:val="43CF0B8F"/>
    <w:rsid w:val="440A3476"/>
    <w:rsid w:val="44181E94"/>
    <w:rsid w:val="441B0714"/>
    <w:rsid w:val="4427386B"/>
    <w:rsid w:val="442B640F"/>
    <w:rsid w:val="4438329A"/>
    <w:rsid w:val="44464D31"/>
    <w:rsid w:val="44854D6A"/>
    <w:rsid w:val="448F42D8"/>
    <w:rsid w:val="44966F41"/>
    <w:rsid w:val="44A209C6"/>
    <w:rsid w:val="44A25CB6"/>
    <w:rsid w:val="44BA3438"/>
    <w:rsid w:val="44C851ED"/>
    <w:rsid w:val="44D71E6A"/>
    <w:rsid w:val="44DE114E"/>
    <w:rsid w:val="44E06066"/>
    <w:rsid w:val="44E10D81"/>
    <w:rsid w:val="44E36B58"/>
    <w:rsid w:val="44F125A8"/>
    <w:rsid w:val="451672CF"/>
    <w:rsid w:val="45183936"/>
    <w:rsid w:val="451B0C43"/>
    <w:rsid w:val="451B6FCE"/>
    <w:rsid w:val="452332C4"/>
    <w:rsid w:val="45234944"/>
    <w:rsid w:val="45253075"/>
    <w:rsid w:val="452C153E"/>
    <w:rsid w:val="45334CF7"/>
    <w:rsid w:val="45337787"/>
    <w:rsid w:val="453D7156"/>
    <w:rsid w:val="454B570A"/>
    <w:rsid w:val="454C091D"/>
    <w:rsid w:val="45512A4A"/>
    <w:rsid w:val="45573DD9"/>
    <w:rsid w:val="45671E24"/>
    <w:rsid w:val="456D1DAE"/>
    <w:rsid w:val="45802990"/>
    <w:rsid w:val="458B22F3"/>
    <w:rsid w:val="459F5AB6"/>
    <w:rsid w:val="45A67831"/>
    <w:rsid w:val="45BA5C0D"/>
    <w:rsid w:val="45C627C6"/>
    <w:rsid w:val="45C9365F"/>
    <w:rsid w:val="45CB7138"/>
    <w:rsid w:val="45CF4A4F"/>
    <w:rsid w:val="45DA2AFE"/>
    <w:rsid w:val="45DF76F5"/>
    <w:rsid w:val="45F11C81"/>
    <w:rsid w:val="45F1391B"/>
    <w:rsid w:val="46005943"/>
    <w:rsid w:val="4603065B"/>
    <w:rsid w:val="460A34EA"/>
    <w:rsid w:val="460D7602"/>
    <w:rsid w:val="4610163C"/>
    <w:rsid w:val="461530FD"/>
    <w:rsid w:val="46293B9A"/>
    <w:rsid w:val="462B1106"/>
    <w:rsid w:val="462D7639"/>
    <w:rsid w:val="462F16E8"/>
    <w:rsid w:val="463B5A78"/>
    <w:rsid w:val="467B2576"/>
    <w:rsid w:val="468A6A53"/>
    <w:rsid w:val="4690199D"/>
    <w:rsid w:val="46927026"/>
    <w:rsid w:val="46995C0D"/>
    <w:rsid w:val="46AB3BB1"/>
    <w:rsid w:val="46B5770A"/>
    <w:rsid w:val="46CF3137"/>
    <w:rsid w:val="46E65FE3"/>
    <w:rsid w:val="46F359FA"/>
    <w:rsid w:val="46F66C60"/>
    <w:rsid w:val="46FB2F1C"/>
    <w:rsid w:val="47020D3A"/>
    <w:rsid w:val="47034D05"/>
    <w:rsid w:val="47037CD1"/>
    <w:rsid w:val="470E1699"/>
    <w:rsid w:val="47183723"/>
    <w:rsid w:val="471C2760"/>
    <w:rsid w:val="47342448"/>
    <w:rsid w:val="473652BF"/>
    <w:rsid w:val="473D4073"/>
    <w:rsid w:val="47407AEA"/>
    <w:rsid w:val="4742002D"/>
    <w:rsid w:val="47474A50"/>
    <w:rsid w:val="47525C46"/>
    <w:rsid w:val="47563071"/>
    <w:rsid w:val="476F4EF2"/>
    <w:rsid w:val="477B0C41"/>
    <w:rsid w:val="47833D1A"/>
    <w:rsid w:val="47874263"/>
    <w:rsid w:val="47875722"/>
    <w:rsid w:val="478F56E5"/>
    <w:rsid w:val="47901954"/>
    <w:rsid w:val="47A302A1"/>
    <w:rsid w:val="47A356B7"/>
    <w:rsid w:val="47B3637B"/>
    <w:rsid w:val="47B804A2"/>
    <w:rsid w:val="47B80698"/>
    <w:rsid w:val="47BE18BD"/>
    <w:rsid w:val="47CF4DE2"/>
    <w:rsid w:val="47D94896"/>
    <w:rsid w:val="47E451B4"/>
    <w:rsid w:val="47E765F6"/>
    <w:rsid w:val="47EE72E3"/>
    <w:rsid w:val="47F715EA"/>
    <w:rsid w:val="48011EEE"/>
    <w:rsid w:val="48170190"/>
    <w:rsid w:val="48272756"/>
    <w:rsid w:val="4829449F"/>
    <w:rsid w:val="48426FE8"/>
    <w:rsid w:val="484A4C66"/>
    <w:rsid w:val="484E39D8"/>
    <w:rsid w:val="485D236B"/>
    <w:rsid w:val="485D7600"/>
    <w:rsid w:val="48663FF3"/>
    <w:rsid w:val="487E33F8"/>
    <w:rsid w:val="48834D20"/>
    <w:rsid w:val="489954D2"/>
    <w:rsid w:val="48B4767E"/>
    <w:rsid w:val="48DC054D"/>
    <w:rsid w:val="48E5612C"/>
    <w:rsid w:val="48E73F4A"/>
    <w:rsid w:val="48F12DDA"/>
    <w:rsid w:val="490370CF"/>
    <w:rsid w:val="49064A81"/>
    <w:rsid w:val="490F5BE1"/>
    <w:rsid w:val="4916795B"/>
    <w:rsid w:val="491B4236"/>
    <w:rsid w:val="491F3DB9"/>
    <w:rsid w:val="49235967"/>
    <w:rsid w:val="49293EAF"/>
    <w:rsid w:val="49330725"/>
    <w:rsid w:val="49556AB6"/>
    <w:rsid w:val="495968C8"/>
    <w:rsid w:val="495A39B8"/>
    <w:rsid w:val="495B7543"/>
    <w:rsid w:val="496151B4"/>
    <w:rsid w:val="497564A7"/>
    <w:rsid w:val="497D0DD4"/>
    <w:rsid w:val="499265F2"/>
    <w:rsid w:val="49952997"/>
    <w:rsid w:val="4996673E"/>
    <w:rsid w:val="49B86DC5"/>
    <w:rsid w:val="49BF73E6"/>
    <w:rsid w:val="49C37DF1"/>
    <w:rsid w:val="49C8461E"/>
    <w:rsid w:val="49C96241"/>
    <w:rsid w:val="49CE62B9"/>
    <w:rsid w:val="49D00E66"/>
    <w:rsid w:val="49DE7F98"/>
    <w:rsid w:val="49F934DE"/>
    <w:rsid w:val="4A0B5C73"/>
    <w:rsid w:val="4A0E467A"/>
    <w:rsid w:val="4A204872"/>
    <w:rsid w:val="4A343A78"/>
    <w:rsid w:val="4A413008"/>
    <w:rsid w:val="4A467189"/>
    <w:rsid w:val="4A610658"/>
    <w:rsid w:val="4A631346"/>
    <w:rsid w:val="4A6623A4"/>
    <w:rsid w:val="4A662560"/>
    <w:rsid w:val="4A726384"/>
    <w:rsid w:val="4A732D5A"/>
    <w:rsid w:val="4A873F86"/>
    <w:rsid w:val="4A8A49B3"/>
    <w:rsid w:val="4A8A6A54"/>
    <w:rsid w:val="4A8D60D1"/>
    <w:rsid w:val="4A9D5AFF"/>
    <w:rsid w:val="4AB32A03"/>
    <w:rsid w:val="4AB35D1C"/>
    <w:rsid w:val="4AC42FC7"/>
    <w:rsid w:val="4ACA2BFB"/>
    <w:rsid w:val="4AD039E1"/>
    <w:rsid w:val="4AD35EF9"/>
    <w:rsid w:val="4AD7139B"/>
    <w:rsid w:val="4AEE30B5"/>
    <w:rsid w:val="4AF00EEA"/>
    <w:rsid w:val="4AF11478"/>
    <w:rsid w:val="4AF948B1"/>
    <w:rsid w:val="4B1626D1"/>
    <w:rsid w:val="4B1D5B1C"/>
    <w:rsid w:val="4B202AFF"/>
    <w:rsid w:val="4B300BEE"/>
    <w:rsid w:val="4B585B64"/>
    <w:rsid w:val="4B5F2FBC"/>
    <w:rsid w:val="4B67335B"/>
    <w:rsid w:val="4B8503A1"/>
    <w:rsid w:val="4B933A23"/>
    <w:rsid w:val="4BB52A98"/>
    <w:rsid w:val="4BC73DC8"/>
    <w:rsid w:val="4BCA32F8"/>
    <w:rsid w:val="4BE34190"/>
    <w:rsid w:val="4BF1061D"/>
    <w:rsid w:val="4BFD21B8"/>
    <w:rsid w:val="4C056BAC"/>
    <w:rsid w:val="4C076199"/>
    <w:rsid w:val="4C204A2D"/>
    <w:rsid w:val="4C3A3AC8"/>
    <w:rsid w:val="4C3D5FD2"/>
    <w:rsid w:val="4C440B18"/>
    <w:rsid w:val="4C453AAD"/>
    <w:rsid w:val="4C4A54EE"/>
    <w:rsid w:val="4C6061CF"/>
    <w:rsid w:val="4C61630D"/>
    <w:rsid w:val="4C620254"/>
    <w:rsid w:val="4C6558B1"/>
    <w:rsid w:val="4C6B1CB1"/>
    <w:rsid w:val="4C7565EF"/>
    <w:rsid w:val="4C7C4660"/>
    <w:rsid w:val="4C8011B3"/>
    <w:rsid w:val="4C8E01CA"/>
    <w:rsid w:val="4C921C77"/>
    <w:rsid w:val="4C9C056B"/>
    <w:rsid w:val="4C9C13DD"/>
    <w:rsid w:val="4CA277BC"/>
    <w:rsid w:val="4CA3334F"/>
    <w:rsid w:val="4CB35036"/>
    <w:rsid w:val="4CB6607E"/>
    <w:rsid w:val="4CB81A18"/>
    <w:rsid w:val="4CCF5CCE"/>
    <w:rsid w:val="4CEE76EC"/>
    <w:rsid w:val="4CF41C4C"/>
    <w:rsid w:val="4D0A775B"/>
    <w:rsid w:val="4D1D26D3"/>
    <w:rsid w:val="4D323BB6"/>
    <w:rsid w:val="4D3F1F91"/>
    <w:rsid w:val="4D523543"/>
    <w:rsid w:val="4D6664BF"/>
    <w:rsid w:val="4D6D16A9"/>
    <w:rsid w:val="4D79198B"/>
    <w:rsid w:val="4D7E0206"/>
    <w:rsid w:val="4D81531E"/>
    <w:rsid w:val="4D8D381B"/>
    <w:rsid w:val="4D980921"/>
    <w:rsid w:val="4D987809"/>
    <w:rsid w:val="4D9D05EA"/>
    <w:rsid w:val="4D9E1903"/>
    <w:rsid w:val="4D9E7B71"/>
    <w:rsid w:val="4DA85D92"/>
    <w:rsid w:val="4DA93CF8"/>
    <w:rsid w:val="4DAA2BB4"/>
    <w:rsid w:val="4DC14CE5"/>
    <w:rsid w:val="4DC2203B"/>
    <w:rsid w:val="4DCA0274"/>
    <w:rsid w:val="4DCF1C89"/>
    <w:rsid w:val="4DCF26ED"/>
    <w:rsid w:val="4DD24AE3"/>
    <w:rsid w:val="4DD6076D"/>
    <w:rsid w:val="4DEC0BAC"/>
    <w:rsid w:val="4DED0524"/>
    <w:rsid w:val="4DED2321"/>
    <w:rsid w:val="4DF33A91"/>
    <w:rsid w:val="4E0C455C"/>
    <w:rsid w:val="4E2F20B1"/>
    <w:rsid w:val="4E3D716F"/>
    <w:rsid w:val="4E6305D1"/>
    <w:rsid w:val="4E647525"/>
    <w:rsid w:val="4E667BA5"/>
    <w:rsid w:val="4E691A4F"/>
    <w:rsid w:val="4E6A710B"/>
    <w:rsid w:val="4E715F1A"/>
    <w:rsid w:val="4E71758F"/>
    <w:rsid w:val="4E746999"/>
    <w:rsid w:val="4E856E5B"/>
    <w:rsid w:val="4E8730EA"/>
    <w:rsid w:val="4E921D05"/>
    <w:rsid w:val="4E943F10"/>
    <w:rsid w:val="4E9D092F"/>
    <w:rsid w:val="4E9F6F5D"/>
    <w:rsid w:val="4EAB4E46"/>
    <w:rsid w:val="4EB238CA"/>
    <w:rsid w:val="4EB738F7"/>
    <w:rsid w:val="4EC86ADF"/>
    <w:rsid w:val="4ED0008E"/>
    <w:rsid w:val="4EE1320A"/>
    <w:rsid w:val="4EEA55EB"/>
    <w:rsid w:val="4EEA5B37"/>
    <w:rsid w:val="4EEF4AD6"/>
    <w:rsid w:val="4EF85A03"/>
    <w:rsid w:val="4F0F0297"/>
    <w:rsid w:val="4F1225E4"/>
    <w:rsid w:val="4F1A7CD9"/>
    <w:rsid w:val="4F1D41F1"/>
    <w:rsid w:val="4F1D7435"/>
    <w:rsid w:val="4F1F32EA"/>
    <w:rsid w:val="4F283616"/>
    <w:rsid w:val="4F285D3D"/>
    <w:rsid w:val="4F4054ED"/>
    <w:rsid w:val="4F5522BB"/>
    <w:rsid w:val="4F631BC3"/>
    <w:rsid w:val="4F6B4360"/>
    <w:rsid w:val="4F790EEA"/>
    <w:rsid w:val="4F7B372A"/>
    <w:rsid w:val="4F7C5399"/>
    <w:rsid w:val="4F8D13CE"/>
    <w:rsid w:val="4F990388"/>
    <w:rsid w:val="4FAA75A8"/>
    <w:rsid w:val="4FBA7EE3"/>
    <w:rsid w:val="4FCD4F98"/>
    <w:rsid w:val="4FD85F47"/>
    <w:rsid w:val="4FE4234F"/>
    <w:rsid w:val="4FEF727D"/>
    <w:rsid w:val="4FFC4CAA"/>
    <w:rsid w:val="4FFE5B89"/>
    <w:rsid w:val="50075F36"/>
    <w:rsid w:val="501579F1"/>
    <w:rsid w:val="50234479"/>
    <w:rsid w:val="502929D1"/>
    <w:rsid w:val="502B3C2E"/>
    <w:rsid w:val="504B1504"/>
    <w:rsid w:val="506220A2"/>
    <w:rsid w:val="50630352"/>
    <w:rsid w:val="50646500"/>
    <w:rsid w:val="506553F0"/>
    <w:rsid w:val="50723E72"/>
    <w:rsid w:val="50732F37"/>
    <w:rsid w:val="50781474"/>
    <w:rsid w:val="507E1E14"/>
    <w:rsid w:val="508D49AF"/>
    <w:rsid w:val="5090243E"/>
    <w:rsid w:val="50995077"/>
    <w:rsid w:val="50995A94"/>
    <w:rsid w:val="509A0FEE"/>
    <w:rsid w:val="50A87385"/>
    <w:rsid w:val="50AA4E16"/>
    <w:rsid w:val="50BF49E3"/>
    <w:rsid w:val="50BF5239"/>
    <w:rsid w:val="50C52D3A"/>
    <w:rsid w:val="50D856AF"/>
    <w:rsid w:val="51087A6C"/>
    <w:rsid w:val="510943AE"/>
    <w:rsid w:val="511F3436"/>
    <w:rsid w:val="512457DB"/>
    <w:rsid w:val="513952E7"/>
    <w:rsid w:val="513A1AEF"/>
    <w:rsid w:val="514155F5"/>
    <w:rsid w:val="514B5A97"/>
    <w:rsid w:val="514E4A01"/>
    <w:rsid w:val="51533A1F"/>
    <w:rsid w:val="515D23A4"/>
    <w:rsid w:val="516270EB"/>
    <w:rsid w:val="516748D0"/>
    <w:rsid w:val="516E1510"/>
    <w:rsid w:val="517B7F3C"/>
    <w:rsid w:val="518A77CF"/>
    <w:rsid w:val="518C19B1"/>
    <w:rsid w:val="51A800E8"/>
    <w:rsid w:val="51D24913"/>
    <w:rsid w:val="51D70395"/>
    <w:rsid w:val="51DF0A2C"/>
    <w:rsid w:val="51E56BF3"/>
    <w:rsid w:val="51EF65AE"/>
    <w:rsid w:val="520358B5"/>
    <w:rsid w:val="520A2D61"/>
    <w:rsid w:val="521149F9"/>
    <w:rsid w:val="522C1120"/>
    <w:rsid w:val="523623B7"/>
    <w:rsid w:val="52432685"/>
    <w:rsid w:val="524A70E6"/>
    <w:rsid w:val="5273571C"/>
    <w:rsid w:val="52892F80"/>
    <w:rsid w:val="529335CE"/>
    <w:rsid w:val="529A5BF1"/>
    <w:rsid w:val="52A16A35"/>
    <w:rsid w:val="52B60850"/>
    <w:rsid w:val="52B630A1"/>
    <w:rsid w:val="52E56E2E"/>
    <w:rsid w:val="52F250D1"/>
    <w:rsid w:val="52FF2786"/>
    <w:rsid w:val="5305182F"/>
    <w:rsid w:val="530C0A27"/>
    <w:rsid w:val="530C6FB2"/>
    <w:rsid w:val="530F2C1C"/>
    <w:rsid w:val="534C44C1"/>
    <w:rsid w:val="5384674F"/>
    <w:rsid w:val="539A76C3"/>
    <w:rsid w:val="539E4A2F"/>
    <w:rsid w:val="53B654A4"/>
    <w:rsid w:val="53D514A7"/>
    <w:rsid w:val="53EB5757"/>
    <w:rsid w:val="53EE1BBE"/>
    <w:rsid w:val="53F12A19"/>
    <w:rsid w:val="54076176"/>
    <w:rsid w:val="540D2B9E"/>
    <w:rsid w:val="540F49AA"/>
    <w:rsid w:val="54184C71"/>
    <w:rsid w:val="542D66EA"/>
    <w:rsid w:val="542E14D3"/>
    <w:rsid w:val="54302D9E"/>
    <w:rsid w:val="543E773B"/>
    <w:rsid w:val="54404344"/>
    <w:rsid w:val="54471746"/>
    <w:rsid w:val="54520AE5"/>
    <w:rsid w:val="5461197D"/>
    <w:rsid w:val="546560B9"/>
    <w:rsid w:val="54667537"/>
    <w:rsid w:val="54681847"/>
    <w:rsid w:val="54834C08"/>
    <w:rsid w:val="5494450D"/>
    <w:rsid w:val="54954B99"/>
    <w:rsid w:val="54AB4E4F"/>
    <w:rsid w:val="54B46E29"/>
    <w:rsid w:val="54D1799A"/>
    <w:rsid w:val="54D203A2"/>
    <w:rsid w:val="54E23923"/>
    <w:rsid w:val="550577B9"/>
    <w:rsid w:val="55080976"/>
    <w:rsid w:val="55175050"/>
    <w:rsid w:val="5521158C"/>
    <w:rsid w:val="553C1B60"/>
    <w:rsid w:val="553D6F05"/>
    <w:rsid w:val="553E2986"/>
    <w:rsid w:val="55642585"/>
    <w:rsid w:val="55734E9E"/>
    <w:rsid w:val="55771691"/>
    <w:rsid w:val="557E3B4B"/>
    <w:rsid w:val="557F36CE"/>
    <w:rsid w:val="558148C6"/>
    <w:rsid w:val="55845F2C"/>
    <w:rsid w:val="55970878"/>
    <w:rsid w:val="55997C1F"/>
    <w:rsid w:val="559D68B0"/>
    <w:rsid w:val="55A31C60"/>
    <w:rsid w:val="55A3387E"/>
    <w:rsid w:val="55B71EB2"/>
    <w:rsid w:val="55B80986"/>
    <w:rsid w:val="55C769E3"/>
    <w:rsid w:val="55D20E61"/>
    <w:rsid w:val="55D84F3F"/>
    <w:rsid w:val="55E537F9"/>
    <w:rsid w:val="55EE4090"/>
    <w:rsid w:val="55F0431C"/>
    <w:rsid w:val="55FE532F"/>
    <w:rsid w:val="56102059"/>
    <w:rsid w:val="562406E7"/>
    <w:rsid w:val="56271748"/>
    <w:rsid w:val="562E2F52"/>
    <w:rsid w:val="562F687A"/>
    <w:rsid w:val="56334A85"/>
    <w:rsid w:val="563B6A4B"/>
    <w:rsid w:val="563E6B12"/>
    <w:rsid w:val="56424BDD"/>
    <w:rsid w:val="56447C5F"/>
    <w:rsid w:val="56453BD7"/>
    <w:rsid w:val="564755B5"/>
    <w:rsid w:val="565F5E56"/>
    <w:rsid w:val="56603828"/>
    <w:rsid w:val="566F2BEA"/>
    <w:rsid w:val="567B7EDF"/>
    <w:rsid w:val="569A132E"/>
    <w:rsid w:val="569A34A6"/>
    <w:rsid w:val="56A045BE"/>
    <w:rsid w:val="56A77DA2"/>
    <w:rsid w:val="56AC2757"/>
    <w:rsid w:val="56BD4BA1"/>
    <w:rsid w:val="56C85C7D"/>
    <w:rsid w:val="56CA2421"/>
    <w:rsid w:val="56D05241"/>
    <w:rsid w:val="56DD1ACF"/>
    <w:rsid w:val="56E129E5"/>
    <w:rsid w:val="56E94E73"/>
    <w:rsid w:val="56F801A5"/>
    <w:rsid w:val="570C4357"/>
    <w:rsid w:val="571208C5"/>
    <w:rsid w:val="571916E1"/>
    <w:rsid w:val="57252CFA"/>
    <w:rsid w:val="572F39A1"/>
    <w:rsid w:val="572F4E86"/>
    <w:rsid w:val="574463B7"/>
    <w:rsid w:val="574D3C4E"/>
    <w:rsid w:val="575E12D7"/>
    <w:rsid w:val="575F3ED4"/>
    <w:rsid w:val="57650F22"/>
    <w:rsid w:val="576560C5"/>
    <w:rsid w:val="57664CC8"/>
    <w:rsid w:val="5769466D"/>
    <w:rsid w:val="57904DCE"/>
    <w:rsid w:val="57943EE5"/>
    <w:rsid w:val="579D256A"/>
    <w:rsid w:val="579D6EB5"/>
    <w:rsid w:val="579F4449"/>
    <w:rsid w:val="57AE6688"/>
    <w:rsid w:val="57B079F0"/>
    <w:rsid w:val="57CF6373"/>
    <w:rsid w:val="57DE51B4"/>
    <w:rsid w:val="57E67227"/>
    <w:rsid w:val="57EB43A2"/>
    <w:rsid w:val="57EF4B68"/>
    <w:rsid w:val="57F853C5"/>
    <w:rsid w:val="58041F80"/>
    <w:rsid w:val="58156CDA"/>
    <w:rsid w:val="58183B28"/>
    <w:rsid w:val="58192311"/>
    <w:rsid w:val="581A3C45"/>
    <w:rsid w:val="581E2147"/>
    <w:rsid w:val="58232F71"/>
    <w:rsid w:val="58242DCE"/>
    <w:rsid w:val="58296788"/>
    <w:rsid w:val="582B72CC"/>
    <w:rsid w:val="582C1296"/>
    <w:rsid w:val="583A5E34"/>
    <w:rsid w:val="5843420A"/>
    <w:rsid w:val="585E4B9B"/>
    <w:rsid w:val="5868158A"/>
    <w:rsid w:val="58696A37"/>
    <w:rsid w:val="586D4479"/>
    <w:rsid w:val="587418E8"/>
    <w:rsid w:val="58825E72"/>
    <w:rsid w:val="5897045E"/>
    <w:rsid w:val="58A031DE"/>
    <w:rsid w:val="58A6492A"/>
    <w:rsid w:val="58A9043B"/>
    <w:rsid w:val="58C85C14"/>
    <w:rsid w:val="58DE1D33"/>
    <w:rsid w:val="58E11AE9"/>
    <w:rsid w:val="58E23AAB"/>
    <w:rsid w:val="58E6691E"/>
    <w:rsid w:val="58EC5696"/>
    <w:rsid w:val="58EE3C0E"/>
    <w:rsid w:val="58F33A67"/>
    <w:rsid w:val="58FA0D65"/>
    <w:rsid w:val="58FC6438"/>
    <w:rsid w:val="58FD3DF2"/>
    <w:rsid w:val="59031DB3"/>
    <w:rsid w:val="59084CF2"/>
    <w:rsid w:val="590B0417"/>
    <w:rsid w:val="590B52AA"/>
    <w:rsid w:val="590D16A8"/>
    <w:rsid w:val="59160E7B"/>
    <w:rsid w:val="591C3F68"/>
    <w:rsid w:val="591E7F4A"/>
    <w:rsid w:val="59322FF7"/>
    <w:rsid w:val="593D57C2"/>
    <w:rsid w:val="593E6A46"/>
    <w:rsid w:val="59431BEA"/>
    <w:rsid w:val="59481FA0"/>
    <w:rsid w:val="594B682A"/>
    <w:rsid w:val="594C3511"/>
    <w:rsid w:val="594E2987"/>
    <w:rsid w:val="595065A6"/>
    <w:rsid w:val="59543707"/>
    <w:rsid w:val="595633AE"/>
    <w:rsid w:val="59575CAC"/>
    <w:rsid w:val="5957750B"/>
    <w:rsid w:val="595E3131"/>
    <w:rsid w:val="59605139"/>
    <w:rsid w:val="5963263A"/>
    <w:rsid w:val="5963706F"/>
    <w:rsid w:val="59686813"/>
    <w:rsid w:val="596A1264"/>
    <w:rsid w:val="59757BEF"/>
    <w:rsid w:val="597E56AB"/>
    <w:rsid w:val="59807A83"/>
    <w:rsid w:val="598B062F"/>
    <w:rsid w:val="598D347F"/>
    <w:rsid w:val="599627B7"/>
    <w:rsid w:val="599F3E9D"/>
    <w:rsid w:val="59A178D3"/>
    <w:rsid w:val="59A873B5"/>
    <w:rsid w:val="59AE140A"/>
    <w:rsid w:val="59B857DD"/>
    <w:rsid w:val="59BC2489"/>
    <w:rsid w:val="59C13C3A"/>
    <w:rsid w:val="59D171BF"/>
    <w:rsid w:val="59DD0D1B"/>
    <w:rsid w:val="59F637D8"/>
    <w:rsid w:val="59F82A37"/>
    <w:rsid w:val="59F95A3D"/>
    <w:rsid w:val="5A017E91"/>
    <w:rsid w:val="5A050F6B"/>
    <w:rsid w:val="5A06792D"/>
    <w:rsid w:val="5A0C7CAF"/>
    <w:rsid w:val="5A140647"/>
    <w:rsid w:val="5A2110DA"/>
    <w:rsid w:val="5A2A7203"/>
    <w:rsid w:val="5A2B4D84"/>
    <w:rsid w:val="5A2C074B"/>
    <w:rsid w:val="5A3304B9"/>
    <w:rsid w:val="5A517F3C"/>
    <w:rsid w:val="5A5F7DA6"/>
    <w:rsid w:val="5A635A96"/>
    <w:rsid w:val="5A775599"/>
    <w:rsid w:val="5A7E4885"/>
    <w:rsid w:val="5A90513F"/>
    <w:rsid w:val="5A9619A6"/>
    <w:rsid w:val="5AA564F1"/>
    <w:rsid w:val="5AA94335"/>
    <w:rsid w:val="5AAF4BD5"/>
    <w:rsid w:val="5AC24E8B"/>
    <w:rsid w:val="5AC352AF"/>
    <w:rsid w:val="5ACE17C6"/>
    <w:rsid w:val="5AD036FB"/>
    <w:rsid w:val="5ADF6C9F"/>
    <w:rsid w:val="5AFE2AC6"/>
    <w:rsid w:val="5B04412D"/>
    <w:rsid w:val="5B11158C"/>
    <w:rsid w:val="5B135A49"/>
    <w:rsid w:val="5B1A4232"/>
    <w:rsid w:val="5B1B45B3"/>
    <w:rsid w:val="5B206432"/>
    <w:rsid w:val="5B2B32D8"/>
    <w:rsid w:val="5B31635D"/>
    <w:rsid w:val="5B49328D"/>
    <w:rsid w:val="5B497533"/>
    <w:rsid w:val="5B4A0787"/>
    <w:rsid w:val="5B545C64"/>
    <w:rsid w:val="5B5B57F7"/>
    <w:rsid w:val="5B74422B"/>
    <w:rsid w:val="5B83311E"/>
    <w:rsid w:val="5B8E05B8"/>
    <w:rsid w:val="5BBA4384"/>
    <w:rsid w:val="5BD86273"/>
    <w:rsid w:val="5BDC1AB7"/>
    <w:rsid w:val="5BE16584"/>
    <w:rsid w:val="5BE56322"/>
    <w:rsid w:val="5BE8082D"/>
    <w:rsid w:val="5BF81E00"/>
    <w:rsid w:val="5BF8397E"/>
    <w:rsid w:val="5C0234F1"/>
    <w:rsid w:val="5C0320D3"/>
    <w:rsid w:val="5C0666A9"/>
    <w:rsid w:val="5C0A0FAB"/>
    <w:rsid w:val="5C1624E9"/>
    <w:rsid w:val="5C164E61"/>
    <w:rsid w:val="5C1F3B4F"/>
    <w:rsid w:val="5C246359"/>
    <w:rsid w:val="5C2F6FBE"/>
    <w:rsid w:val="5C3C3C58"/>
    <w:rsid w:val="5C435483"/>
    <w:rsid w:val="5C4A6057"/>
    <w:rsid w:val="5C5702D9"/>
    <w:rsid w:val="5C575DA0"/>
    <w:rsid w:val="5C5F4A3A"/>
    <w:rsid w:val="5C76156B"/>
    <w:rsid w:val="5C7A05CE"/>
    <w:rsid w:val="5C7A6A9F"/>
    <w:rsid w:val="5C867502"/>
    <w:rsid w:val="5C881C88"/>
    <w:rsid w:val="5C8E6B13"/>
    <w:rsid w:val="5C926907"/>
    <w:rsid w:val="5CA661F3"/>
    <w:rsid w:val="5CAB5DCD"/>
    <w:rsid w:val="5CB16938"/>
    <w:rsid w:val="5CCB2E45"/>
    <w:rsid w:val="5CF73B8B"/>
    <w:rsid w:val="5D055A28"/>
    <w:rsid w:val="5D0D5B2B"/>
    <w:rsid w:val="5D147877"/>
    <w:rsid w:val="5D1F4138"/>
    <w:rsid w:val="5D245389"/>
    <w:rsid w:val="5D294BA2"/>
    <w:rsid w:val="5D2C6787"/>
    <w:rsid w:val="5D3E3A7B"/>
    <w:rsid w:val="5D3E45BD"/>
    <w:rsid w:val="5D5C36A3"/>
    <w:rsid w:val="5D643804"/>
    <w:rsid w:val="5D6F6ECB"/>
    <w:rsid w:val="5D7B2AF2"/>
    <w:rsid w:val="5D861BE8"/>
    <w:rsid w:val="5D8B20E0"/>
    <w:rsid w:val="5D9B65B3"/>
    <w:rsid w:val="5DA52F21"/>
    <w:rsid w:val="5DA638A4"/>
    <w:rsid w:val="5DAB41A7"/>
    <w:rsid w:val="5DB011A9"/>
    <w:rsid w:val="5DB4439A"/>
    <w:rsid w:val="5DBB18AF"/>
    <w:rsid w:val="5DC63590"/>
    <w:rsid w:val="5DC751A5"/>
    <w:rsid w:val="5DD11C11"/>
    <w:rsid w:val="5DD91D21"/>
    <w:rsid w:val="5DE23550"/>
    <w:rsid w:val="5DE25B5E"/>
    <w:rsid w:val="5DE26B61"/>
    <w:rsid w:val="5DE47EB5"/>
    <w:rsid w:val="5DEA368D"/>
    <w:rsid w:val="5DEE0CE5"/>
    <w:rsid w:val="5DF31E5E"/>
    <w:rsid w:val="5E081B13"/>
    <w:rsid w:val="5E1309C1"/>
    <w:rsid w:val="5E140057"/>
    <w:rsid w:val="5E140CE5"/>
    <w:rsid w:val="5E14455B"/>
    <w:rsid w:val="5E1D1BF5"/>
    <w:rsid w:val="5E2707D0"/>
    <w:rsid w:val="5E2E20CD"/>
    <w:rsid w:val="5E3B37CE"/>
    <w:rsid w:val="5E561362"/>
    <w:rsid w:val="5E633773"/>
    <w:rsid w:val="5E6A559D"/>
    <w:rsid w:val="5E6F482B"/>
    <w:rsid w:val="5E7B656D"/>
    <w:rsid w:val="5E815838"/>
    <w:rsid w:val="5E9B4C25"/>
    <w:rsid w:val="5EB00592"/>
    <w:rsid w:val="5EB83FDF"/>
    <w:rsid w:val="5F01654B"/>
    <w:rsid w:val="5F173CBA"/>
    <w:rsid w:val="5F293312"/>
    <w:rsid w:val="5F2A1796"/>
    <w:rsid w:val="5F32171B"/>
    <w:rsid w:val="5F4E1EE1"/>
    <w:rsid w:val="5F510CD7"/>
    <w:rsid w:val="5F5825F7"/>
    <w:rsid w:val="5F5B60D6"/>
    <w:rsid w:val="5F5D6F73"/>
    <w:rsid w:val="5F642DC7"/>
    <w:rsid w:val="5F6E485E"/>
    <w:rsid w:val="5F727672"/>
    <w:rsid w:val="5F760FB3"/>
    <w:rsid w:val="5F8461E0"/>
    <w:rsid w:val="5F861BE8"/>
    <w:rsid w:val="5F880303"/>
    <w:rsid w:val="5F8822F2"/>
    <w:rsid w:val="5F8E6E35"/>
    <w:rsid w:val="5F9E409A"/>
    <w:rsid w:val="5FC574A2"/>
    <w:rsid w:val="5FC920B9"/>
    <w:rsid w:val="5FCE04B8"/>
    <w:rsid w:val="5FD75A95"/>
    <w:rsid w:val="5FE3624B"/>
    <w:rsid w:val="5FE77C2E"/>
    <w:rsid w:val="5FF62224"/>
    <w:rsid w:val="5FF87721"/>
    <w:rsid w:val="5FFC31B0"/>
    <w:rsid w:val="60000345"/>
    <w:rsid w:val="60041DA2"/>
    <w:rsid w:val="601778D8"/>
    <w:rsid w:val="601B407B"/>
    <w:rsid w:val="601C68AC"/>
    <w:rsid w:val="60310704"/>
    <w:rsid w:val="60365032"/>
    <w:rsid w:val="603D4B21"/>
    <w:rsid w:val="60436841"/>
    <w:rsid w:val="60462ABA"/>
    <w:rsid w:val="604D26DB"/>
    <w:rsid w:val="604E259D"/>
    <w:rsid w:val="60622FE6"/>
    <w:rsid w:val="60707C63"/>
    <w:rsid w:val="60763CD0"/>
    <w:rsid w:val="607E1A0F"/>
    <w:rsid w:val="608D4366"/>
    <w:rsid w:val="608E7959"/>
    <w:rsid w:val="609176B2"/>
    <w:rsid w:val="60AD2C51"/>
    <w:rsid w:val="60AF399C"/>
    <w:rsid w:val="60BA3336"/>
    <w:rsid w:val="60BE1FE2"/>
    <w:rsid w:val="60DD5D6E"/>
    <w:rsid w:val="60E111DC"/>
    <w:rsid w:val="60F65792"/>
    <w:rsid w:val="60F93E9B"/>
    <w:rsid w:val="60FA21CC"/>
    <w:rsid w:val="61105BFF"/>
    <w:rsid w:val="612B23C6"/>
    <w:rsid w:val="614C10D3"/>
    <w:rsid w:val="61513CDA"/>
    <w:rsid w:val="615C021E"/>
    <w:rsid w:val="61634300"/>
    <w:rsid w:val="61654DC7"/>
    <w:rsid w:val="618A27CC"/>
    <w:rsid w:val="619371E3"/>
    <w:rsid w:val="619A4430"/>
    <w:rsid w:val="619B78B5"/>
    <w:rsid w:val="61A64505"/>
    <w:rsid w:val="61A6568A"/>
    <w:rsid w:val="61AE1C3F"/>
    <w:rsid w:val="61BE467D"/>
    <w:rsid w:val="61C36267"/>
    <w:rsid w:val="61D22EDD"/>
    <w:rsid w:val="61DB7B2E"/>
    <w:rsid w:val="61E62DC3"/>
    <w:rsid w:val="61E9580C"/>
    <w:rsid w:val="61F254ED"/>
    <w:rsid w:val="61F74A58"/>
    <w:rsid w:val="61F827C0"/>
    <w:rsid w:val="61FC2322"/>
    <w:rsid w:val="61FF5F0C"/>
    <w:rsid w:val="620B4E5E"/>
    <w:rsid w:val="622710F0"/>
    <w:rsid w:val="623213BA"/>
    <w:rsid w:val="623646DE"/>
    <w:rsid w:val="623F0901"/>
    <w:rsid w:val="62593821"/>
    <w:rsid w:val="626A6D9F"/>
    <w:rsid w:val="626B36FE"/>
    <w:rsid w:val="628F2C25"/>
    <w:rsid w:val="62AE300D"/>
    <w:rsid w:val="62B7162B"/>
    <w:rsid w:val="62BE0896"/>
    <w:rsid w:val="62BE2BCE"/>
    <w:rsid w:val="62D92DBA"/>
    <w:rsid w:val="62E024F0"/>
    <w:rsid w:val="62E227F1"/>
    <w:rsid w:val="62E524B8"/>
    <w:rsid w:val="6302329E"/>
    <w:rsid w:val="632779C5"/>
    <w:rsid w:val="63303A4D"/>
    <w:rsid w:val="6337428E"/>
    <w:rsid w:val="63383F53"/>
    <w:rsid w:val="63495614"/>
    <w:rsid w:val="6356750C"/>
    <w:rsid w:val="636C2B41"/>
    <w:rsid w:val="638535DC"/>
    <w:rsid w:val="63873012"/>
    <w:rsid w:val="638D43F4"/>
    <w:rsid w:val="638F3791"/>
    <w:rsid w:val="63A26EC4"/>
    <w:rsid w:val="63BD11C9"/>
    <w:rsid w:val="63BD46F7"/>
    <w:rsid w:val="63C93AE3"/>
    <w:rsid w:val="63D32DD9"/>
    <w:rsid w:val="63EA5AEE"/>
    <w:rsid w:val="63F85380"/>
    <w:rsid w:val="63F93F4F"/>
    <w:rsid w:val="64103907"/>
    <w:rsid w:val="641635A1"/>
    <w:rsid w:val="64283AC7"/>
    <w:rsid w:val="6428645B"/>
    <w:rsid w:val="644E1F71"/>
    <w:rsid w:val="645C3CF2"/>
    <w:rsid w:val="645F4CE1"/>
    <w:rsid w:val="64657189"/>
    <w:rsid w:val="64686488"/>
    <w:rsid w:val="647212FE"/>
    <w:rsid w:val="647D1303"/>
    <w:rsid w:val="64806DD5"/>
    <w:rsid w:val="64956619"/>
    <w:rsid w:val="649B584B"/>
    <w:rsid w:val="64A67DD5"/>
    <w:rsid w:val="64AA08B6"/>
    <w:rsid w:val="64C54D6F"/>
    <w:rsid w:val="64C73248"/>
    <w:rsid w:val="64D06CDF"/>
    <w:rsid w:val="64D60316"/>
    <w:rsid w:val="64D87CC1"/>
    <w:rsid w:val="64E457A0"/>
    <w:rsid w:val="64FA7B14"/>
    <w:rsid w:val="65032E45"/>
    <w:rsid w:val="650A68A4"/>
    <w:rsid w:val="6514101D"/>
    <w:rsid w:val="65152054"/>
    <w:rsid w:val="6526422D"/>
    <w:rsid w:val="65373F1D"/>
    <w:rsid w:val="65413870"/>
    <w:rsid w:val="65495E7D"/>
    <w:rsid w:val="65532B1F"/>
    <w:rsid w:val="65567222"/>
    <w:rsid w:val="655B1C89"/>
    <w:rsid w:val="658A6AB1"/>
    <w:rsid w:val="658E7D05"/>
    <w:rsid w:val="65A127C6"/>
    <w:rsid w:val="65BE767F"/>
    <w:rsid w:val="65CC6EF0"/>
    <w:rsid w:val="65D67CEA"/>
    <w:rsid w:val="65DE1EB3"/>
    <w:rsid w:val="65E225EC"/>
    <w:rsid w:val="65FA6095"/>
    <w:rsid w:val="65FD33DF"/>
    <w:rsid w:val="66125F44"/>
    <w:rsid w:val="661B704A"/>
    <w:rsid w:val="66214AA5"/>
    <w:rsid w:val="66215043"/>
    <w:rsid w:val="6627308E"/>
    <w:rsid w:val="663A6DCD"/>
    <w:rsid w:val="66506D9C"/>
    <w:rsid w:val="6656191E"/>
    <w:rsid w:val="66663913"/>
    <w:rsid w:val="66674684"/>
    <w:rsid w:val="666D5DFE"/>
    <w:rsid w:val="66752BE7"/>
    <w:rsid w:val="669C1AF8"/>
    <w:rsid w:val="66A7449A"/>
    <w:rsid w:val="66A84691"/>
    <w:rsid w:val="66AC16AA"/>
    <w:rsid w:val="66AE077E"/>
    <w:rsid w:val="66BE0674"/>
    <w:rsid w:val="66C15B38"/>
    <w:rsid w:val="66D342EA"/>
    <w:rsid w:val="66F53BC0"/>
    <w:rsid w:val="66F67AFB"/>
    <w:rsid w:val="66F81920"/>
    <w:rsid w:val="67067BD9"/>
    <w:rsid w:val="6714788D"/>
    <w:rsid w:val="673D7A0C"/>
    <w:rsid w:val="674615D1"/>
    <w:rsid w:val="6747733C"/>
    <w:rsid w:val="67495544"/>
    <w:rsid w:val="67565945"/>
    <w:rsid w:val="676222A6"/>
    <w:rsid w:val="676506B9"/>
    <w:rsid w:val="6769408E"/>
    <w:rsid w:val="67730C98"/>
    <w:rsid w:val="677A1A7A"/>
    <w:rsid w:val="67974BB7"/>
    <w:rsid w:val="67A645A2"/>
    <w:rsid w:val="67AB7D90"/>
    <w:rsid w:val="67AF6C6F"/>
    <w:rsid w:val="67B13351"/>
    <w:rsid w:val="67DB7F90"/>
    <w:rsid w:val="67E12B5F"/>
    <w:rsid w:val="67EA780C"/>
    <w:rsid w:val="68027390"/>
    <w:rsid w:val="684736CE"/>
    <w:rsid w:val="68603F1B"/>
    <w:rsid w:val="686369FF"/>
    <w:rsid w:val="686D3BF3"/>
    <w:rsid w:val="6871148A"/>
    <w:rsid w:val="687B491A"/>
    <w:rsid w:val="68931D4F"/>
    <w:rsid w:val="689678C1"/>
    <w:rsid w:val="689B74B0"/>
    <w:rsid w:val="68A25545"/>
    <w:rsid w:val="68A77315"/>
    <w:rsid w:val="68A8338A"/>
    <w:rsid w:val="68AB7255"/>
    <w:rsid w:val="68AE008F"/>
    <w:rsid w:val="68C2243C"/>
    <w:rsid w:val="68C8307C"/>
    <w:rsid w:val="68D3293F"/>
    <w:rsid w:val="68D63C5F"/>
    <w:rsid w:val="68D67E30"/>
    <w:rsid w:val="68DA6F63"/>
    <w:rsid w:val="68E84032"/>
    <w:rsid w:val="68E865A7"/>
    <w:rsid w:val="68EF4874"/>
    <w:rsid w:val="68F67EC5"/>
    <w:rsid w:val="68F84E0A"/>
    <w:rsid w:val="6902601D"/>
    <w:rsid w:val="69070FC6"/>
    <w:rsid w:val="690C2D88"/>
    <w:rsid w:val="69272732"/>
    <w:rsid w:val="692856C4"/>
    <w:rsid w:val="693551ED"/>
    <w:rsid w:val="693A39DA"/>
    <w:rsid w:val="69465C99"/>
    <w:rsid w:val="69484B8B"/>
    <w:rsid w:val="694A15CE"/>
    <w:rsid w:val="69583929"/>
    <w:rsid w:val="6963775D"/>
    <w:rsid w:val="69792D48"/>
    <w:rsid w:val="698A6697"/>
    <w:rsid w:val="69B362E5"/>
    <w:rsid w:val="69B81411"/>
    <w:rsid w:val="69D32E2E"/>
    <w:rsid w:val="69D43B1E"/>
    <w:rsid w:val="69D774CF"/>
    <w:rsid w:val="69D94E2F"/>
    <w:rsid w:val="69E0582C"/>
    <w:rsid w:val="69FF2A95"/>
    <w:rsid w:val="6A07580E"/>
    <w:rsid w:val="6A0B10EF"/>
    <w:rsid w:val="6A23368F"/>
    <w:rsid w:val="6A3214A2"/>
    <w:rsid w:val="6A33665C"/>
    <w:rsid w:val="6A37168B"/>
    <w:rsid w:val="6A497862"/>
    <w:rsid w:val="6A4C4B36"/>
    <w:rsid w:val="6A676646"/>
    <w:rsid w:val="6A7B2D50"/>
    <w:rsid w:val="6A807B54"/>
    <w:rsid w:val="6A8632B2"/>
    <w:rsid w:val="6A8C3E32"/>
    <w:rsid w:val="6A934051"/>
    <w:rsid w:val="6A94423C"/>
    <w:rsid w:val="6ABA7CCC"/>
    <w:rsid w:val="6ACA5DC5"/>
    <w:rsid w:val="6ADD1F77"/>
    <w:rsid w:val="6AE21706"/>
    <w:rsid w:val="6AEB5159"/>
    <w:rsid w:val="6AF0513F"/>
    <w:rsid w:val="6B113EB2"/>
    <w:rsid w:val="6B126C67"/>
    <w:rsid w:val="6B1C4DF4"/>
    <w:rsid w:val="6B240263"/>
    <w:rsid w:val="6B2430A6"/>
    <w:rsid w:val="6B2A3D5B"/>
    <w:rsid w:val="6B2D5A10"/>
    <w:rsid w:val="6B2F15A5"/>
    <w:rsid w:val="6B331785"/>
    <w:rsid w:val="6B4029F2"/>
    <w:rsid w:val="6B487400"/>
    <w:rsid w:val="6B4928F0"/>
    <w:rsid w:val="6B4F2E1A"/>
    <w:rsid w:val="6B5B1948"/>
    <w:rsid w:val="6B683517"/>
    <w:rsid w:val="6B8E1217"/>
    <w:rsid w:val="6B8F48EA"/>
    <w:rsid w:val="6BC56D11"/>
    <w:rsid w:val="6BC645CF"/>
    <w:rsid w:val="6BD54DCC"/>
    <w:rsid w:val="6BD75695"/>
    <w:rsid w:val="6BEA18F6"/>
    <w:rsid w:val="6C092855"/>
    <w:rsid w:val="6C0A1D9F"/>
    <w:rsid w:val="6C111CF7"/>
    <w:rsid w:val="6C121819"/>
    <w:rsid w:val="6C1A59AD"/>
    <w:rsid w:val="6C2127B3"/>
    <w:rsid w:val="6C2344D3"/>
    <w:rsid w:val="6C261705"/>
    <w:rsid w:val="6C2F2E9D"/>
    <w:rsid w:val="6C366808"/>
    <w:rsid w:val="6C38351D"/>
    <w:rsid w:val="6C3F62A8"/>
    <w:rsid w:val="6C4D2A8D"/>
    <w:rsid w:val="6C4D5C94"/>
    <w:rsid w:val="6C8158D4"/>
    <w:rsid w:val="6C855AFC"/>
    <w:rsid w:val="6CA272F9"/>
    <w:rsid w:val="6CA378FD"/>
    <w:rsid w:val="6CAD1DB1"/>
    <w:rsid w:val="6CBC1B0F"/>
    <w:rsid w:val="6CBE65B6"/>
    <w:rsid w:val="6CBF2E07"/>
    <w:rsid w:val="6CC77B2F"/>
    <w:rsid w:val="6CCF524A"/>
    <w:rsid w:val="6CD1593E"/>
    <w:rsid w:val="6CE1702C"/>
    <w:rsid w:val="6CEF4D94"/>
    <w:rsid w:val="6CFA1A7F"/>
    <w:rsid w:val="6CFA3C5C"/>
    <w:rsid w:val="6CFA680A"/>
    <w:rsid w:val="6CFB1651"/>
    <w:rsid w:val="6CFB7840"/>
    <w:rsid w:val="6CFF5BF0"/>
    <w:rsid w:val="6D050DF2"/>
    <w:rsid w:val="6D160BFE"/>
    <w:rsid w:val="6D222F12"/>
    <w:rsid w:val="6D242311"/>
    <w:rsid w:val="6D3860D2"/>
    <w:rsid w:val="6D413E88"/>
    <w:rsid w:val="6D497D34"/>
    <w:rsid w:val="6D544F03"/>
    <w:rsid w:val="6D7542C0"/>
    <w:rsid w:val="6D7E5E5B"/>
    <w:rsid w:val="6D8042EE"/>
    <w:rsid w:val="6D8970A0"/>
    <w:rsid w:val="6D96794E"/>
    <w:rsid w:val="6D9B62B6"/>
    <w:rsid w:val="6D9F3A7E"/>
    <w:rsid w:val="6DA47173"/>
    <w:rsid w:val="6DAD5119"/>
    <w:rsid w:val="6DB34CA3"/>
    <w:rsid w:val="6DB42D2B"/>
    <w:rsid w:val="6DBD2BE5"/>
    <w:rsid w:val="6DC23D85"/>
    <w:rsid w:val="6DD07C77"/>
    <w:rsid w:val="6DE15AD2"/>
    <w:rsid w:val="6DE57FAA"/>
    <w:rsid w:val="6DE92567"/>
    <w:rsid w:val="6DED6608"/>
    <w:rsid w:val="6DF55FC1"/>
    <w:rsid w:val="6DFD3E00"/>
    <w:rsid w:val="6E052671"/>
    <w:rsid w:val="6E082526"/>
    <w:rsid w:val="6E0F7A08"/>
    <w:rsid w:val="6E120263"/>
    <w:rsid w:val="6E1401AF"/>
    <w:rsid w:val="6E180A04"/>
    <w:rsid w:val="6E365FDE"/>
    <w:rsid w:val="6E38602F"/>
    <w:rsid w:val="6E3A526B"/>
    <w:rsid w:val="6E4375BC"/>
    <w:rsid w:val="6E4B7B3E"/>
    <w:rsid w:val="6E541700"/>
    <w:rsid w:val="6E6127D0"/>
    <w:rsid w:val="6E664914"/>
    <w:rsid w:val="6E737F8A"/>
    <w:rsid w:val="6E7F3CCC"/>
    <w:rsid w:val="6E8010BD"/>
    <w:rsid w:val="6E801F5F"/>
    <w:rsid w:val="6E822E97"/>
    <w:rsid w:val="6E87036A"/>
    <w:rsid w:val="6E953A58"/>
    <w:rsid w:val="6E977A01"/>
    <w:rsid w:val="6EA62251"/>
    <w:rsid w:val="6EB54628"/>
    <w:rsid w:val="6EB73EC1"/>
    <w:rsid w:val="6EB84DF9"/>
    <w:rsid w:val="6ECD5176"/>
    <w:rsid w:val="6ED92276"/>
    <w:rsid w:val="6EDD7084"/>
    <w:rsid w:val="6EE5747A"/>
    <w:rsid w:val="6EE62EFB"/>
    <w:rsid w:val="6EF43401"/>
    <w:rsid w:val="6EF43864"/>
    <w:rsid w:val="6EF91206"/>
    <w:rsid w:val="6F076171"/>
    <w:rsid w:val="6F1325B4"/>
    <w:rsid w:val="6F3A0766"/>
    <w:rsid w:val="6F442D80"/>
    <w:rsid w:val="6F7613A8"/>
    <w:rsid w:val="6F784DF6"/>
    <w:rsid w:val="6F791065"/>
    <w:rsid w:val="6F840705"/>
    <w:rsid w:val="6F8F75B1"/>
    <w:rsid w:val="6F936C0D"/>
    <w:rsid w:val="6F9D68D5"/>
    <w:rsid w:val="6FB727B0"/>
    <w:rsid w:val="6FC12591"/>
    <w:rsid w:val="6FC31866"/>
    <w:rsid w:val="6FC73BD9"/>
    <w:rsid w:val="6FE30C15"/>
    <w:rsid w:val="6FE6261E"/>
    <w:rsid w:val="6FE72347"/>
    <w:rsid w:val="6FEF4928"/>
    <w:rsid w:val="6FFC1715"/>
    <w:rsid w:val="70061E46"/>
    <w:rsid w:val="700F7A03"/>
    <w:rsid w:val="70101F06"/>
    <w:rsid w:val="701A6C3E"/>
    <w:rsid w:val="701E725B"/>
    <w:rsid w:val="70260922"/>
    <w:rsid w:val="702A44F5"/>
    <w:rsid w:val="70303C9C"/>
    <w:rsid w:val="704F5BF3"/>
    <w:rsid w:val="70617474"/>
    <w:rsid w:val="70665A95"/>
    <w:rsid w:val="706770A2"/>
    <w:rsid w:val="706F51BF"/>
    <w:rsid w:val="70733B4F"/>
    <w:rsid w:val="70736EF3"/>
    <w:rsid w:val="708104F2"/>
    <w:rsid w:val="70817739"/>
    <w:rsid w:val="70860455"/>
    <w:rsid w:val="70944697"/>
    <w:rsid w:val="70A91C2A"/>
    <w:rsid w:val="70C15C5B"/>
    <w:rsid w:val="70C26FB3"/>
    <w:rsid w:val="70C36755"/>
    <w:rsid w:val="70CD236D"/>
    <w:rsid w:val="70D60D2D"/>
    <w:rsid w:val="70DF07FD"/>
    <w:rsid w:val="70EB5487"/>
    <w:rsid w:val="71131D88"/>
    <w:rsid w:val="71141AEC"/>
    <w:rsid w:val="71173F05"/>
    <w:rsid w:val="712E0F12"/>
    <w:rsid w:val="71331ACD"/>
    <w:rsid w:val="715978F3"/>
    <w:rsid w:val="715B1E12"/>
    <w:rsid w:val="715F18B7"/>
    <w:rsid w:val="716B7641"/>
    <w:rsid w:val="716F54CA"/>
    <w:rsid w:val="717E784C"/>
    <w:rsid w:val="71897B6B"/>
    <w:rsid w:val="718D6D83"/>
    <w:rsid w:val="71934875"/>
    <w:rsid w:val="71972D29"/>
    <w:rsid w:val="719B5D76"/>
    <w:rsid w:val="71B05AB3"/>
    <w:rsid w:val="71B33558"/>
    <w:rsid w:val="71C613B8"/>
    <w:rsid w:val="71DC4E23"/>
    <w:rsid w:val="71EA750A"/>
    <w:rsid w:val="71FE1478"/>
    <w:rsid w:val="72134E93"/>
    <w:rsid w:val="721F41B2"/>
    <w:rsid w:val="72217A32"/>
    <w:rsid w:val="72262E37"/>
    <w:rsid w:val="72267279"/>
    <w:rsid w:val="722A53BF"/>
    <w:rsid w:val="7231289D"/>
    <w:rsid w:val="72362A17"/>
    <w:rsid w:val="724209A5"/>
    <w:rsid w:val="724237D0"/>
    <w:rsid w:val="725020D0"/>
    <w:rsid w:val="7254642B"/>
    <w:rsid w:val="72644B50"/>
    <w:rsid w:val="7266265D"/>
    <w:rsid w:val="727638D0"/>
    <w:rsid w:val="7283792A"/>
    <w:rsid w:val="728D3346"/>
    <w:rsid w:val="72954280"/>
    <w:rsid w:val="729750E7"/>
    <w:rsid w:val="72992A4D"/>
    <w:rsid w:val="72BE3881"/>
    <w:rsid w:val="72BF57C3"/>
    <w:rsid w:val="72D67A2D"/>
    <w:rsid w:val="72D76021"/>
    <w:rsid w:val="72DC25A3"/>
    <w:rsid w:val="72EA5D7E"/>
    <w:rsid w:val="72EE0105"/>
    <w:rsid w:val="72F74C33"/>
    <w:rsid w:val="72F9552B"/>
    <w:rsid w:val="72FD7049"/>
    <w:rsid w:val="73006006"/>
    <w:rsid w:val="73011B59"/>
    <w:rsid w:val="7309684B"/>
    <w:rsid w:val="730A3851"/>
    <w:rsid w:val="730B6F2F"/>
    <w:rsid w:val="731128CC"/>
    <w:rsid w:val="731318B9"/>
    <w:rsid w:val="73242E7F"/>
    <w:rsid w:val="73276667"/>
    <w:rsid w:val="7336145E"/>
    <w:rsid w:val="734437EB"/>
    <w:rsid w:val="734B370A"/>
    <w:rsid w:val="7353360F"/>
    <w:rsid w:val="73560149"/>
    <w:rsid w:val="73724005"/>
    <w:rsid w:val="7373265F"/>
    <w:rsid w:val="73800CF4"/>
    <w:rsid w:val="738113F8"/>
    <w:rsid w:val="73814F04"/>
    <w:rsid w:val="738A2CFB"/>
    <w:rsid w:val="739A35C4"/>
    <w:rsid w:val="739D2508"/>
    <w:rsid w:val="73AF5980"/>
    <w:rsid w:val="73AF6625"/>
    <w:rsid w:val="73BF1FE6"/>
    <w:rsid w:val="73C019B2"/>
    <w:rsid w:val="73D66911"/>
    <w:rsid w:val="73D74EDD"/>
    <w:rsid w:val="73D76407"/>
    <w:rsid w:val="73DB2D56"/>
    <w:rsid w:val="73DF3AC1"/>
    <w:rsid w:val="73E207F9"/>
    <w:rsid w:val="73F55546"/>
    <w:rsid w:val="74010F8E"/>
    <w:rsid w:val="7427130A"/>
    <w:rsid w:val="742F26FF"/>
    <w:rsid w:val="743D582C"/>
    <w:rsid w:val="74501D70"/>
    <w:rsid w:val="745813F7"/>
    <w:rsid w:val="74771D29"/>
    <w:rsid w:val="747C6477"/>
    <w:rsid w:val="7485768E"/>
    <w:rsid w:val="748C27AE"/>
    <w:rsid w:val="74936C28"/>
    <w:rsid w:val="74A06674"/>
    <w:rsid w:val="74A33B05"/>
    <w:rsid w:val="74A55008"/>
    <w:rsid w:val="74A7775A"/>
    <w:rsid w:val="74A77CB8"/>
    <w:rsid w:val="74AC24F1"/>
    <w:rsid w:val="74AD5A16"/>
    <w:rsid w:val="74AE74D6"/>
    <w:rsid w:val="74B270BE"/>
    <w:rsid w:val="74BD2524"/>
    <w:rsid w:val="74C947F1"/>
    <w:rsid w:val="74D20712"/>
    <w:rsid w:val="74D24D9F"/>
    <w:rsid w:val="74D3643E"/>
    <w:rsid w:val="74D63958"/>
    <w:rsid w:val="74E76564"/>
    <w:rsid w:val="750B6F20"/>
    <w:rsid w:val="750E61C2"/>
    <w:rsid w:val="75111F82"/>
    <w:rsid w:val="7514534C"/>
    <w:rsid w:val="751E7FE9"/>
    <w:rsid w:val="75432877"/>
    <w:rsid w:val="75435125"/>
    <w:rsid w:val="755B78E1"/>
    <w:rsid w:val="75623A00"/>
    <w:rsid w:val="75662011"/>
    <w:rsid w:val="757F03CB"/>
    <w:rsid w:val="758A16D8"/>
    <w:rsid w:val="758C6022"/>
    <w:rsid w:val="759816C2"/>
    <w:rsid w:val="75AD33AA"/>
    <w:rsid w:val="75C4732A"/>
    <w:rsid w:val="75CC314B"/>
    <w:rsid w:val="75CF501D"/>
    <w:rsid w:val="75D830A1"/>
    <w:rsid w:val="75D908C0"/>
    <w:rsid w:val="75DF12FB"/>
    <w:rsid w:val="75F35468"/>
    <w:rsid w:val="75F927BF"/>
    <w:rsid w:val="75FA230F"/>
    <w:rsid w:val="75FE65AB"/>
    <w:rsid w:val="76022EFB"/>
    <w:rsid w:val="76071844"/>
    <w:rsid w:val="76164850"/>
    <w:rsid w:val="762C0BA6"/>
    <w:rsid w:val="763B621E"/>
    <w:rsid w:val="763C5C66"/>
    <w:rsid w:val="76450C77"/>
    <w:rsid w:val="764F49E5"/>
    <w:rsid w:val="765C728A"/>
    <w:rsid w:val="765E1935"/>
    <w:rsid w:val="766F51FC"/>
    <w:rsid w:val="768C232C"/>
    <w:rsid w:val="768F523F"/>
    <w:rsid w:val="769471CA"/>
    <w:rsid w:val="76995BC0"/>
    <w:rsid w:val="769E4E5E"/>
    <w:rsid w:val="76A01ADA"/>
    <w:rsid w:val="76A13F8B"/>
    <w:rsid w:val="76A555D1"/>
    <w:rsid w:val="76AB2C1F"/>
    <w:rsid w:val="76B35847"/>
    <w:rsid w:val="76C34729"/>
    <w:rsid w:val="76C70E64"/>
    <w:rsid w:val="76CA355A"/>
    <w:rsid w:val="76CA3904"/>
    <w:rsid w:val="76E25C9B"/>
    <w:rsid w:val="76E37595"/>
    <w:rsid w:val="76EE04C1"/>
    <w:rsid w:val="76FA282A"/>
    <w:rsid w:val="76FC20FC"/>
    <w:rsid w:val="76FD5A52"/>
    <w:rsid w:val="77184DCF"/>
    <w:rsid w:val="771C396C"/>
    <w:rsid w:val="772728C8"/>
    <w:rsid w:val="772845E2"/>
    <w:rsid w:val="77284CF6"/>
    <w:rsid w:val="77287CBA"/>
    <w:rsid w:val="77312D26"/>
    <w:rsid w:val="7732162C"/>
    <w:rsid w:val="773363AF"/>
    <w:rsid w:val="77357E5A"/>
    <w:rsid w:val="773905FC"/>
    <w:rsid w:val="773A57D5"/>
    <w:rsid w:val="774279EE"/>
    <w:rsid w:val="77455C59"/>
    <w:rsid w:val="77606015"/>
    <w:rsid w:val="77656A8C"/>
    <w:rsid w:val="776A0B8D"/>
    <w:rsid w:val="776C7621"/>
    <w:rsid w:val="776D4A00"/>
    <w:rsid w:val="77826018"/>
    <w:rsid w:val="77847EAD"/>
    <w:rsid w:val="77850860"/>
    <w:rsid w:val="77896BCB"/>
    <w:rsid w:val="7794317F"/>
    <w:rsid w:val="77985B42"/>
    <w:rsid w:val="77A64271"/>
    <w:rsid w:val="77A87048"/>
    <w:rsid w:val="77B2694D"/>
    <w:rsid w:val="77B323EE"/>
    <w:rsid w:val="77BA53B2"/>
    <w:rsid w:val="77C14A00"/>
    <w:rsid w:val="77C7650C"/>
    <w:rsid w:val="77E347ED"/>
    <w:rsid w:val="77EC6E97"/>
    <w:rsid w:val="77F164B2"/>
    <w:rsid w:val="77F310D3"/>
    <w:rsid w:val="77F318FF"/>
    <w:rsid w:val="77FB3BB1"/>
    <w:rsid w:val="78011D13"/>
    <w:rsid w:val="781078A2"/>
    <w:rsid w:val="78400BC7"/>
    <w:rsid w:val="78456390"/>
    <w:rsid w:val="784E30FD"/>
    <w:rsid w:val="784E7432"/>
    <w:rsid w:val="785A19D6"/>
    <w:rsid w:val="786A1534"/>
    <w:rsid w:val="787C34FE"/>
    <w:rsid w:val="78813C00"/>
    <w:rsid w:val="7882796D"/>
    <w:rsid w:val="788A4B70"/>
    <w:rsid w:val="78993D94"/>
    <w:rsid w:val="789E7EC4"/>
    <w:rsid w:val="78A8463B"/>
    <w:rsid w:val="78AD3CED"/>
    <w:rsid w:val="78B5238F"/>
    <w:rsid w:val="78C46358"/>
    <w:rsid w:val="78C83049"/>
    <w:rsid w:val="78C857FE"/>
    <w:rsid w:val="78CB65EE"/>
    <w:rsid w:val="78D2211D"/>
    <w:rsid w:val="78DD4AB0"/>
    <w:rsid w:val="78E8509F"/>
    <w:rsid w:val="7911687B"/>
    <w:rsid w:val="79181A3D"/>
    <w:rsid w:val="79306795"/>
    <w:rsid w:val="7935113E"/>
    <w:rsid w:val="795F7256"/>
    <w:rsid w:val="797F3D13"/>
    <w:rsid w:val="79874FA1"/>
    <w:rsid w:val="798D54BA"/>
    <w:rsid w:val="799654C6"/>
    <w:rsid w:val="79A20737"/>
    <w:rsid w:val="79A730BA"/>
    <w:rsid w:val="79AA54EB"/>
    <w:rsid w:val="79C02390"/>
    <w:rsid w:val="79C86B1C"/>
    <w:rsid w:val="79CA2198"/>
    <w:rsid w:val="79D903F6"/>
    <w:rsid w:val="79E41B72"/>
    <w:rsid w:val="79E671A3"/>
    <w:rsid w:val="79FA6238"/>
    <w:rsid w:val="79FF295D"/>
    <w:rsid w:val="7A075E3C"/>
    <w:rsid w:val="7A25400F"/>
    <w:rsid w:val="7A441126"/>
    <w:rsid w:val="7A4A278C"/>
    <w:rsid w:val="7A4C2A71"/>
    <w:rsid w:val="7A6D7F90"/>
    <w:rsid w:val="7A894724"/>
    <w:rsid w:val="7A8C5B34"/>
    <w:rsid w:val="7A960DC6"/>
    <w:rsid w:val="7A99514E"/>
    <w:rsid w:val="7AAB39ED"/>
    <w:rsid w:val="7AB12624"/>
    <w:rsid w:val="7AB15519"/>
    <w:rsid w:val="7AB356D4"/>
    <w:rsid w:val="7AC04C53"/>
    <w:rsid w:val="7ACD15D2"/>
    <w:rsid w:val="7ACF2473"/>
    <w:rsid w:val="7AD67703"/>
    <w:rsid w:val="7AD95C20"/>
    <w:rsid w:val="7AE324CC"/>
    <w:rsid w:val="7AE71FEF"/>
    <w:rsid w:val="7AFF2558"/>
    <w:rsid w:val="7AFF3491"/>
    <w:rsid w:val="7B01591E"/>
    <w:rsid w:val="7B087801"/>
    <w:rsid w:val="7B1B72BD"/>
    <w:rsid w:val="7B2439E2"/>
    <w:rsid w:val="7B3002D1"/>
    <w:rsid w:val="7B356969"/>
    <w:rsid w:val="7B4219C4"/>
    <w:rsid w:val="7B5752EF"/>
    <w:rsid w:val="7B5A478D"/>
    <w:rsid w:val="7B5C63B0"/>
    <w:rsid w:val="7B625B2F"/>
    <w:rsid w:val="7B6B251A"/>
    <w:rsid w:val="7B6B6DF1"/>
    <w:rsid w:val="7B7773F6"/>
    <w:rsid w:val="7B8544D4"/>
    <w:rsid w:val="7B8545D4"/>
    <w:rsid w:val="7B88664B"/>
    <w:rsid w:val="7B8D5281"/>
    <w:rsid w:val="7B920F91"/>
    <w:rsid w:val="7B98164C"/>
    <w:rsid w:val="7B9F5F6B"/>
    <w:rsid w:val="7BA945DD"/>
    <w:rsid w:val="7BB267CA"/>
    <w:rsid w:val="7BB55BB3"/>
    <w:rsid w:val="7BB73A43"/>
    <w:rsid w:val="7BC33F40"/>
    <w:rsid w:val="7BC5726F"/>
    <w:rsid w:val="7BCB77BA"/>
    <w:rsid w:val="7BDA2F64"/>
    <w:rsid w:val="7BE92F82"/>
    <w:rsid w:val="7BF22A55"/>
    <w:rsid w:val="7BF34A9E"/>
    <w:rsid w:val="7BFF088B"/>
    <w:rsid w:val="7C0A237A"/>
    <w:rsid w:val="7C1E2E8D"/>
    <w:rsid w:val="7C2B4F5B"/>
    <w:rsid w:val="7C3F0259"/>
    <w:rsid w:val="7C416CC2"/>
    <w:rsid w:val="7C424F85"/>
    <w:rsid w:val="7C464030"/>
    <w:rsid w:val="7C5739F3"/>
    <w:rsid w:val="7C7E3011"/>
    <w:rsid w:val="7C7E616B"/>
    <w:rsid w:val="7C81576A"/>
    <w:rsid w:val="7CA85164"/>
    <w:rsid w:val="7CAA3F8A"/>
    <w:rsid w:val="7CAD20DE"/>
    <w:rsid w:val="7CB65DFB"/>
    <w:rsid w:val="7CB80A2D"/>
    <w:rsid w:val="7CBC046E"/>
    <w:rsid w:val="7CD02DCD"/>
    <w:rsid w:val="7CD421D6"/>
    <w:rsid w:val="7CD913C8"/>
    <w:rsid w:val="7CF10B9E"/>
    <w:rsid w:val="7CF37FE3"/>
    <w:rsid w:val="7CF925B5"/>
    <w:rsid w:val="7CF94807"/>
    <w:rsid w:val="7D013E6D"/>
    <w:rsid w:val="7D1234E0"/>
    <w:rsid w:val="7D1D6C35"/>
    <w:rsid w:val="7D1E6BBF"/>
    <w:rsid w:val="7D36229A"/>
    <w:rsid w:val="7D3F1077"/>
    <w:rsid w:val="7D445FA0"/>
    <w:rsid w:val="7D453E16"/>
    <w:rsid w:val="7D48020C"/>
    <w:rsid w:val="7D4D21D5"/>
    <w:rsid w:val="7D5447D6"/>
    <w:rsid w:val="7D67064A"/>
    <w:rsid w:val="7D6865C0"/>
    <w:rsid w:val="7D68678C"/>
    <w:rsid w:val="7D6B7E9E"/>
    <w:rsid w:val="7D766193"/>
    <w:rsid w:val="7D7969A9"/>
    <w:rsid w:val="7D86539C"/>
    <w:rsid w:val="7D945B64"/>
    <w:rsid w:val="7D9B6510"/>
    <w:rsid w:val="7DA02E78"/>
    <w:rsid w:val="7DAD5065"/>
    <w:rsid w:val="7DC27374"/>
    <w:rsid w:val="7DD5541E"/>
    <w:rsid w:val="7DD554C8"/>
    <w:rsid w:val="7DDA716F"/>
    <w:rsid w:val="7DF347EC"/>
    <w:rsid w:val="7E002F42"/>
    <w:rsid w:val="7E066969"/>
    <w:rsid w:val="7E092F67"/>
    <w:rsid w:val="7E106FE3"/>
    <w:rsid w:val="7E2C1A9A"/>
    <w:rsid w:val="7E2C7914"/>
    <w:rsid w:val="7E3561D1"/>
    <w:rsid w:val="7E38219B"/>
    <w:rsid w:val="7E44724A"/>
    <w:rsid w:val="7E474333"/>
    <w:rsid w:val="7E4E2F7C"/>
    <w:rsid w:val="7E4E68C6"/>
    <w:rsid w:val="7E5C3503"/>
    <w:rsid w:val="7E666319"/>
    <w:rsid w:val="7E6977DC"/>
    <w:rsid w:val="7E6F1660"/>
    <w:rsid w:val="7E80291B"/>
    <w:rsid w:val="7E9156A0"/>
    <w:rsid w:val="7EA44116"/>
    <w:rsid w:val="7EC5039A"/>
    <w:rsid w:val="7EC6491B"/>
    <w:rsid w:val="7EC74899"/>
    <w:rsid w:val="7EC845FF"/>
    <w:rsid w:val="7EC910BA"/>
    <w:rsid w:val="7ED0352B"/>
    <w:rsid w:val="7ED16AF4"/>
    <w:rsid w:val="7EDE6E1E"/>
    <w:rsid w:val="7F121C25"/>
    <w:rsid w:val="7F1A0906"/>
    <w:rsid w:val="7F235263"/>
    <w:rsid w:val="7F2C5B3D"/>
    <w:rsid w:val="7F325A4A"/>
    <w:rsid w:val="7F4171D8"/>
    <w:rsid w:val="7F444416"/>
    <w:rsid w:val="7F534C26"/>
    <w:rsid w:val="7F543D11"/>
    <w:rsid w:val="7F55359B"/>
    <w:rsid w:val="7F715887"/>
    <w:rsid w:val="7F7D6029"/>
    <w:rsid w:val="7FAB49EE"/>
    <w:rsid w:val="7FBC36FF"/>
    <w:rsid w:val="7FC44659"/>
    <w:rsid w:val="7FD01C3C"/>
    <w:rsid w:val="7FD14B1D"/>
    <w:rsid w:val="7FD854E3"/>
    <w:rsid w:val="7FDC193E"/>
    <w:rsid w:val="7FE175B3"/>
    <w:rsid w:val="7FE9338C"/>
    <w:rsid w:val="7FF117BA"/>
    <w:rsid w:val="7FF12C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4">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27"/>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6">
    <w:name w:val="heading 3"/>
    <w:basedOn w:val="1"/>
    <w:next w:val="7"/>
    <w:link w:val="44"/>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rPr>
      <w:rFonts w:ascii="Times New Roman" w:hAnsi="Times New Roman"/>
      <w:szCs w:val="24"/>
    </w:rPr>
  </w:style>
  <w:style w:type="paragraph" w:styleId="3">
    <w:name w:val="Body Text Indent"/>
    <w:basedOn w:val="1"/>
    <w:unhideWhenUsed/>
    <w:qFormat/>
    <w:uiPriority w:val="99"/>
    <w:pPr>
      <w:spacing w:after="120"/>
      <w:ind w:left="420" w:leftChars="200"/>
    </w:pPr>
  </w:style>
  <w:style w:type="paragraph" w:customStyle="1" w:styleId="7">
    <w:name w:val="正文缩进2字符"/>
    <w:basedOn w:val="1"/>
    <w:qFormat/>
    <w:uiPriority w:val="0"/>
    <w:pPr>
      <w:widowControl/>
      <w:spacing w:before="100" w:beforeAutospacing="1" w:after="100" w:afterAutospacing="1" w:line="300" w:lineRule="auto"/>
      <w:ind w:left="357" w:firstLine="420" w:firstLineChars="200"/>
      <w:jc w:val="left"/>
    </w:pPr>
    <w:rPr>
      <w:rFonts w:ascii="ˎ̥" w:hAnsi="ˎ̥"/>
      <w:color w:val="51585D"/>
      <w:kern w:val="0"/>
      <w:sz w:val="20"/>
    </w:rPr>
  </w:style>
  <w:style w:type="paragraph" w:styleId="8">
    <w:name w:val="Document Map"/>
    <w:basedOn w:val="1"/>
    <w:link w:val="58"/>
    <w:semiHidden/>
    <w:unhideWhenUsed/>
    <w:qFormat/>
    <w:uiPriority w:val="99"/>
    <w:rPr>
      <w:rFonts w:ascii="宋体"/>
      <w:sz w:val="18"/>
      <w:szCs w:val="18"/>
    </w:rPr>
  </w:style>
  <w:style w:type="paragraph" w:styleId="9">
    <w:name w:val="annotation text"/>
    <w:basedOn w:val="1"/>
    <w:link w:val="35"/>
    <w:unhideWhenUsed/>
    <w:qFormat/>
    <w:uiPriority w:val="99"/>
    <w:pPr>
      <w:jc w:val="left"/>
    </w:pPr>
  </w:style>
  <w:style w:type="paragraph" w:styleId="10">
    <w:name w:val="Body Text"/>
    <w:basedOn w:val="1"/>
    <w:link w:val="30"/>
    <w:qFormat/>
    <w:uiPriority w:val="0"/>
    <w:pPr>
      <w:spacing w:after="120" w:line="360" w:lineRule="auto"/>
      <w:ind w:firstLine="454"/>
    </w:pPr>
    <w:rPr>
      <w:rFonts w:ascii="Times New Roman" w:hAnsi="Times New Roman"/>
      <w:szCs w:val="20"/>
    </w:rPr>
  </w:style>
  <w:style w:type="paragraph" w:styleId="11">
    <w:name w:val="Plain Text"/>
    <w:basedOn w:val="1"/>
    <w:link w:val="51"/>
    <w:qFormat/>
    <w:uiPriority w:val="0"/>
    <w:pPr>
      <w:spacing w:line="360" w:lineRule="auto"/>
    </w:pPr>
    <w:rPr>
      <w:rFonts w:ascii="宋体" w:hAnsi="Courier New"/>
      <w:kern w:val="0"/>
      <w:sz w:val="20"/>
      <w:szCs w:val="20"/>
    </w:rPr>
  </w:style>
  <w:style w:type="paragraph" w:styleId="12">
    <w:name w:val="Balloon Text"/>
    <w:basedOn w:val="1"/>
    <w:link w:val="37"/>
    <w:unhideWhenUsed/>
    <w:qFormat/>
    <w:uiPriority w:val="99"/>
    <w:rPr>
      <w:sz w:val="18"/>
      <w:szCs w:val="18"/>
    </w:rPr>
  </w:style>
  <w:style w:type="paragraph" w:styleId="13">
    <w:name w:val="footer"/>
    <w:basedOn w:val="1"/>
    <w:link w:val="28"/>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4">
    <w:name w:val="header"/>
    <w:basedOn w:val="1"/>
    <w:link w:val="29"/>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unhideWhenUsed/>
    <w:qFormat/>
    <w:uiPriority w:val="39"/>
  </w:style>
  <w:style w:type="paragraph" w:styleId="16">
    <w:name w:val="Normal (Web)"/>
    <w:basedOn w:val="1"/>
    <w:qFormat/>
    <w:uiPriority w:val="0"/>
  </w:style>
  <w:style w:type="paragraph" w:styleId="17">
    <w:name w:val="annotation subject"/>
    <w:basedOn w:val="9"/>
    <w:next w:val="9"/>
    <w:link w:val="36"/>
    <w:unhideWhenUsed/>
    <w:qFormat/>
    <w:uiPriority w:val="99"/>
    <w:rPr>
      <w:b/>
      <w:bCs/>
    </w:rPr>
  </w:style>
  <w:style w:type="paragraph" w:styleId="18">
    <w:name w:val="Body Text First Indent"/>
    <w:basedOn w:val="10"/>
    <w:link w:val="39"/>
    <w:unhideWhenUsed/>
    <w:qFormat/>
    <w:uiPriority w:val="99"/>
    <w:pPr>
      <w:spacing w:line="240" w:lineRule="auto"/>
      <w:ind w:firstLine="420" w:firstLineChars="100"/>
    </w:pPr>
    <w:rPr>
      <w:rFonts w:ascii="Calibri" w:hAnsi="Calibri"/>
      <w:szCs w:val="22"/>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Emphasis"/>
    <w:basedOn w:val="21"/>
    <w:qFormat/>
    <w:uiPriority w:val="20"/>
    <w:rPr>
      <w:i/>
    </w:rPr>
  </w:style>
  <w:style w:type="character" w:styleId="24">
    <w:name w:val="Hyperlink"/>
    <w:basedOn w:val="21"/>
    <w:unhideWhenUsed/>
    <w:qFormat/>
    <w:uiPriority w:val="99"/>
    <w:rPr>
      <w:color w:val="0000FF" w:themeColor="hyperlink"/>
      <w:u w:val="single"/>
      <w14:textFill>
        <w14:solidFill>
          <w14:schemeClr w14:val="hlink"/>
        </w14:solidFill>
      </w14:textFill>
    </w:rPr>
  </w:style>
  <w:style w:type="character" w:styleId="25">
    <w:name w:val="annotation reference"/>
    <w:basedOn w:val="21"/>
    <w:unhideWhenUsed/>
    <w:qFormat/>
    <w:uiPriority w:val="99"/>
    <w:rPr>
      <w:sz w:val="21"/>
      <w:szCs w:val="21"/>
    </w:rPr>
  </w:style>
  <w:style w:type="character" w:customStyle="1" w:styleId="26">
    <w:name w:val="标题 1 字符"/>
    <w:basedOn w:val="21"/>
    <w:link w:val="4"/>
    <w:qFormat/>
    <w:uiPriority w:val="0"/>
    <w:rPr>
      <w:rFonts w:ascii="Calibri" w:hAnsi="Calibri" w:eastAsia="宋体" w:cs="Times New Roman"/>
      <w:b/>
      <w:bCs/>
      <w:kern w:val="44"/>
      <w:sz w:val="44"/>
      <w:szCs w:val="44"/>
    </w:rPr>
  </w:style>
  <w:style w:type="character" w:customStyle="1" w:styleId="27">
    <w:name w:val="标题 2 字符"/>
    <w:basedOn w:val="21"/>
    <w:link w:val="5"/>
    <w:qFormat/>
    <w:uiPriority w:val="0"/>
    <w:rPr>
      <w:rFonts w:ascii="宋体" w:hAnsi="宋体" w:eastAsia="宋体" w:cs="宋体"/>
      <w:b/>
      <w:bCs/>
      <w:kern w:val="0"/>
      <w:sz w:val="36"/>
      <w:szCs w:val="36"/>
    </w:rPr>
  </w:style>
  <w:style w:type="character" w:customStyle="1" w:styleId="28">
    <w:name w:val="页脚 字符"/>
    <w:link w:val="13"/>
    <w:qFormat/>
    <w:uiPriority w:val="0"/>
    <w:rPr>
      <w:sz w:val="18"/>
      <w:szCs w:val="18"/>
    </w:rPr>
  </w:style>
  <w:style w:type="character" w:customStyle="1" w:styleId="29">
    <w:name w:val="页眉 字符"/>
    <w:link w:val="14"/>
    <w:qFormat/>
    <w:uiPriority w:val="0"/>
    <w:rPr>
      <w:sz w:val="18"/>
      <w:szCs w:val="18"/>
    </w:rPr>
  </w:style>
  <w:style w:type="character" w:customStyle="1" w:styleId="30">
    <w:name w:val="正文文本 字符"/>
    <w:basedOn w:val="21"/>
    <w:link w:val="10"/>
    <w:qFormat/>
    <w:uiPriority w:val="0"/>
    <w:rPr>
      <w:rFonts w:ascii="Times New Roman" w:hAnsi="Times New Roman" w:eastAsia="宋体" w:cs="Times New Roman"/>
      <w:sz w:val="24"/>
      <w:szCs w:val="20"/>
    </w:rPr>
  </w:style>
  <w:style w:type="character" w:customStyle="1" w:styleId="31">
    <w:name w:val="页脚 Char1"/>
    <w:basedOn w:val="21"/>
    <w:semiHidden/>
    <w:qFormat/>
    <w:uiPriority w:val="99"/>
    <w:rPr>
      <w:rFonts w:ascii="Calibri" w:hAnsi="Calibri" w:eastAsia="宋体" w:cs="Times New Roman"/>
      <w:sz w:val="18"/>
      <w:szCs w:val="18"/>
    </w:rPr>
  </w:style>
  <w:style w:type="character" w:customStyle="1" w:styleId="32">
    <w:name w:val="页眉 Char1"/>
    <w:basedOn w:val="21"/>
    <w:semiHidden/>
    <w:qFormat/>
    <w:uiPriority w:val="99"/>
    <w:rPr>
      <w:rFonts w:ascii="Calibri" w:hAnsi="Calibri" w:eastAsia="宋体" w:cs="Times New Roman"/>
      <w:sz w:val="18"/>
      <w:szCs w:val="18"/>
    </w:rPr>
  </w:style>
  <w:style w:type="paragraph" w:customStyle="1" w:styleId="33">
    <w:name w:val="列出段落1"/>
    <w:basedOn w:val="1"/>
    <w:qFormat/>
    <w:uiPriority w:val="0"/>
    <w:pPr>
      <w:ind w:firstLine="420" w:firstLineChars="200"/>
    </w:pPr>
  </w:style>
  <w:style w:type="paragraph" w:customStyle="1" w:styleId="34">
    <w:name w:val="列出段落2"/>
    <w:basedOn w:val="1"/>
    <w:qFormat/>
    <w:uiPriority w:val="34"/>
    <w:pPr>
      <w:ind w:firstLine="420" w:firstLineChars="200"/>
    </w:pPr>
  </w:style>
  <w:style w:type="character" w:customStyle="1" w:styleId="35">
    <w:name w:val="批注文字 字符"/>
    <w:basedOn w:val="21"/>
    <w:link w:val="9"/>
    <w:semiHidden/>
    <w:qFormat/>
    <w:uiPriority w:val="99"/>
    <w:rPr>
      <w:rFonts w:ascii="Calibri" w:hAnsi="Calibri" w:eastAsia="宋体" w:cs="Times New Roman"/>
    </w:rPr>
  </w:style>
  <w:style w:type="character" w:customStyle="1" w:styleId="36">
    <w:name w:val="批注主题 字符"/>
    <w:basedOn w:val="35"/>
    <w:link w:val="17"/>
    <w:semiHidden/>
    <w:qFormat/>
    <w:uiPriority w:val="99"/>
    <w:rPr>
      <w:rFonts w:ascii="Calibri" w:hAnsi="Calibri" w:eastAsia="宋体" w:cs="Times New Roman"/>
      <w:b/>
      <w:bCs/>
    </w:rPr>
  </w:style>
  <w:style w:type="character" w:customStyle="1" w:styleId="37">
    <w:name w:val="批注框文本 字符"/>
    <w:basedOn w:val="21"/>
    <w:link w:val="12"/>
    <w:semiHidden/>
    <w:qFormat/>
    <w:uiPriority w:val="99"/>
    <w:rPr>
      <w:rFonts w:ascii="Calibri" w:hAnsi="Calibri" w:eastAsia="宋体" w:cs="Times New Roman"/>
      <w:sz w:val="18"/>
      <w:szCs w:val="18"/>
    </w:rPr>
  </w:style>
  <w:style w:type="paragraph" w:customStyle="1" w:styleId="38">
    <w:name w:val="列出段落21"/>
    <w:basedOn w:val="1"/>
    <w:qFormat/>
    <w:uiPriority w:val="34"/>
    <w:pPr>
      <w:ind w:firstLine="420" w:firstLineChars="200"/>
    </w:pPr>
  </w:style>
  <w:style w:type="character" w:customStyle="1" w:styleId="39">
    <w:name w:val="正文文本首行缩进 字符"/>
    <w:basedOn w:val="30"/>
    <w:link w:val="18"/>
    <w:semiHidden/>
    <w:qFormat/>
    <w:uiPriority w:val="99"/>
    <w:rPr>
      <w:rFonts w:ascii="Calibri" w:hAnsi="Calibri" w:eastAsia="宋体" w:cs="Times New Roman"/>
      <w:sz w:val="24"/>
      <w:szCs w:val="20"/>
    </w:rPr>
  </w:style>
  <w:style w:type="paragraph" w:customStyle="1" w:styleId="40">
    <w:name w:val="Table Text"/>
    <w:link w:val="41"/>
    <w:qFormat/>
    <w:uiPriority w:val="0"/>
    <w:pPr>
      <w:snapToGrid w:val="0"/>
      <w:spacing w:before="80" w:after="80"/>
    </w:pPr>
    <w:rPr>
      <w:rFonts w:ascii="Arial" w:hAnsi="Arial" w:eastAsia="宋体" w:cs="Arial"/>
      <w:kern w:val="2"/>
      <w:sz w:val="18"/>
      <w:szCs w:val="18"/>
      <w:lang w:val="en-US" w:eastAsia="zh-CN" w:bidi="ar-SA"/>
    </w:rPr>
  </w:style>
  <w:style w:type="character" w:customStyle="1" w:styleId="41">
    <w:name w:val="Table Text Char"/>
    <w:basedOn w:val="21"/>
    <w:link w:val="40"/>
    <w:qFormat/>
    <w:uiPriority w:val="0"/>
    <w:rPr>
      <w:rFonts w:ascii="Arial" w:hAnsi="Arial" w:eastAsia="宋体" w:cs="Arial"/>
      <w:sz w:val="18"/>
      <w:szCs w:val="18"/>
    </w:rPr>
  </w:style>
  <w:style w:type="paragraph" w:customStyle="1" w:styleId="42">
    <w:name w:val="Table Heading"/>
    <w:link w:val="43"/>
    <w:qFormat/>
    <w:uiPriority w:val="0"/>
    <w:pPr>
      <w:keepNext/>
      <w:snapToGrid w:val="0"/>
      <w:spacing w:before="80" w:after="80"/>
      <w:jc w:val="center"/>
    </w:pPr>
    <w:rPr>
      <w:rFonts w:ascii="Arial" w:hAnsi="Arial" w:eastAsia="黑体" w:cs="Arial"/>
      <w:kern w:val="2"/>
      <w:sz w:val="18"/>
      <w:szCs w:val="18"/>
      <w:lang w:val="en-US" w:eastAsia="zh-CN" w:bidi="ar-SA"/>
    </w:rPr>
  </w:style>
  <w:style w:type="character" w:customStyle="1" w:styleId="43">
    <w:name w:val="Table Heading Char"/>
    <w:basedOn w:val="21"/>
    <w:link w:val="42"/>
    <w:qFormat/>
    <w:uiPriority w:val="0"/>
    <w:rPr>
      <w:rFonts w:ascii="Arial" w:hAnsi="Arial" w:eastAsia="黑体" w:cs="Arial"/>
      <w:sz w:val="18"/>
      <w:szCs w:val="18"/>
    </w:rPr>
  </w:style>
  <w:style w:type="character" w:customStyle="1" w:styleId="44">
    <w:name w:val="标题 3 字符"/>
    <w:basedOn w:val="21"/>
    <w:link w:val="6"/>
    <w:qFormat/>
    <w:uiPriority w:val="9"/>
    <w:rPr>
      <w:rFonts w:ascii="Calibri" w:hAnsi="Calibri" w:eastAsia="宋体" w:cs="Times New Roman"/>
      <w:b/>
      <w:bCs/>
      <w:sz w:val="32"/>
      <w:szCs w:val="32"/>
    </w:rPr>
  </w:style>
  <w:style w:type="paragraph" w:customStyle="1" w:styleId="45">
    <w:name w:val="Table Paragraph"/>
    <w:basedOn w:val="1"/>
    <w:qFormat/>
    <w:uiPriority w:val="1"/>
    <w:pPr>
      <w:spacing w:line="214" w:lineRule="exact"/>
      <w:ind w:left="1422"/>
    </w:pPr>
    <w:rPr>
      <w:rFonts w:ascii="Noto Sans CJK JP Regular" w:hAnsi="Noto Sans CJK JP Regular" w:eastAsia="Noto Sans CJK JP Regular" w:cs="Noto Sans CJK JP Regular"/>
    </w:rPr>
  </w:style>
  <w:style w:type="character" w:customStyle="1" w:styleId="46">
    <w:name w:val="Default Char"/>
    <w:link w:val="47"/>
    <w:qFormat/>
    <w:uiPriority w:val="0"/>
    <w:rPr>
      <w:rFonts w:ascii="黑体" w:eastAsia="黑体" w:cs="黑体"/>
      <w:color w:val="000000"/>
      <w:sz w:val="24"/>
      <w:szCs w:val="24"/>
    </w:rPr>
  </w:style>
  <w:style w:type="paragraph" w:customStyle="1" w:styleId="47">
    <w:name w:val="Default"/>
    <w:link w:val="46"/>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styleId="48">
    <w:name w:val="List Paragraph"/>
    <w:basedOn w:val="1"/>
    <w:link w:val="49"/>
    <w:qFormat/>
    <w:uiPriority w:val="0"/>
    <w:pPr>
      <w:ind w:firstLine="420" w:firstLineChars="200"/>
    </w:pPr>
  </w:style>
  <w:style w:type="character" w:customStyle="1" w:styleId="49">
    <w:name w:val="列表段落 字符"/>
    <w:link w:val="48"/>
    <w:qFormat/>
    <w:uiPriority w:val="0"/>
    <w:rPr>
      <w:rFonts w:ascii="Calibri" w:hAnsi="Calibri" w:eastAsia="宋体" w:cs="Times New Roman"/>
      <w:kern w:val="2"/>
      <w:sz w:val="24"/>
      <w:szCs w:val="22"/>
    </w:rPr>
  </w:style>
  <w:style w:type="paragraph" w:customStyle="1" w:styleId="50">
    <w:name w:val="Head2 Para"/>
    <w:basedOn w:val="1"/>
    <w:qFormat/>
    <w:uiPriority w:val="0"/>
    <w:pPr>
      <w:widowControl/>
      <w:spacing w:line="400" w:lineRule="exact"/>
      <w:ind w:left="284"/>
      <w:jc w:val="left"/>
    </w:pPr>
    <w:rPr>
      <w:rFonts w:ascii="宋体" w:hAnsi="Times New Roman" w:cs="宋体"/>
      <w:bCs/>
      <w:kern w:val="0"/>
      <w:sz w:val="22"/>
    </w:rPr>
  </w:style>
  <w:style w:type="character" w:customStyle="1" w:styleId="51">
    <w:name w:val="纯文本 字符"/>
    <w:link w:val="11"/>
    <w:qFormat/>
    <w:uiPriority w:val="0"/>
    <w:rPr>
      <w:rFonts w:ascii="宋体" w:hAnsi="Courier New"/>
    </w:rPr>
  </w:style>
  <w:style w:type="character" w:customStyle="1" w:styleId="52">
    <w:name w:val="纯文本 字符1"/>
    <w:basedOn w:val="21"/>
    <w:semiHidden/>
    <w:qFormat/>
    <w:uiPriority w:val="99"/>
    <w:rPr>
      <w:rFonts w:hAnsi="Courier New" w:cs="Courier New" w:asciiTheme="minorEastAsia" w:eastAsiaTheme="minorEastAsia"/>
      <w:kern w:val="2"/>
      <w:sz w:val="24"/>
      <w:szCs w:val="22"/>
    </w:rPr>
  </w:style>
  <w:style w:type="character" w:customStyle="1" w:styleId="53">
    <w:name w:val="列出段落 字符1"/>
    <w:qFormat/>
    <w:uiPriority w:val="0"/>
    <w:rPr>
      <w:rFonts w:ascii="Calibri" w:hAnsi="Calibri" w:eastAsia="宋体" w:cs="Times New Roman"/>
      <w:kern w:val="2"/>
      <w:sz w:val="24"/>
      <w:szCs w:val="22"/>
    </w:rPr>
  </w:style>
  <w:style w:type="paragraph" w:customStyle="1" w:styleId="54">
    <w:name w:val="正文 New New New New New New New New New New New New New New New New New New New New New New New New New New New New New New New New"/>
    <w:qFormat/>
    <w:uiPriority w:val="0"/>
    <w:pPr>
      <w:widowControl w:val="0"/>
      <w:spacing w:line="240" w:lineRule="atLeast"/>
    </w:pPr>
    <w:rPr>
      <w:rFonts w:ascii="Calibri" w:hAnsi="Calibri" w:eastAsia="仿宋_GB2312" w:cs="Times New Roman"/>
      <w:kern w:val="2"/>
      <w:sz w:val="24"/>
      <w:szCs w:val="21"/>
      <w:lang w:val="en-US" w:eastAsia="zh-CN" w:bidi="ar-SA"/>
    </w:rPr>
  </w:style>
  <w:style w:type="paragraph" w:customStyle="1" w:styleId="55">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_Style 52"/>
    <w:basedOn w:val="1"/>
    <w:next w:val="48"/>
    <w:qFormat/>
    <w:uiPriority w:val="34"/>
    <w:pPr>
      <w:ind w:firstLine="420" w:firstLineChars="200"/>
    </w:pPr>
    <w:rPr>
      <w:sz w:val="21"/>
    </w:rPr>
  </w:style>
  <w:style w:type="paragraph" w:customStyle="1" w:styleId="57">
    <w:name w:val="Body"/>
    <w:basedOn w:val="1"/>
    <w:qFormat/>
    <w:uiPriority w:val="0"/>
    <w:pPr>
      <w:spacing w:line="360" w:lineRule="auto"/>
      <w:ind w:firstLine="200" w:firstLineChars="200"/>
      <w:jc w:val="left"/>
    </w:pPr>
    <w:rPr>
      <w:rFonts w:ascii="宋体" w:hAnsi="宋体"/>
      <w:szCs w:val="24"/>
    </w:rPr>
  </w:style>
  <w:style w:type="character" w:customStyle="1" w:styleId="58">
    <w:name w:val="文档结构图 字符"/>
    <w:basedOn w:val="21"/>
    <w:link w:val="8"/>
    <w:semiHidden/>
    <w:qFormat/>
    <w:uiPriority w:val="99"/>
    <w:rPr>
      <w:rFonts w:ascii="宋体" w:hAnsi="Calibri"/>
      <w:kern w:val="2"/>
      <w:sz w:val="18"/>
      <w:szCs w:val="18"/>
    </w:rPr>
  </w:style>
  <w:style w:type="paragraph" w:customStyle="1" w:styleId="59">
    <w:name w:val="修订1"/>
    <w:hidden/>
    <w:unhideWhenUsed/>
    <w:qFormat/>
    <w:uiPriority w:val="99"/>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ink/ink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e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6.emf"/><Relationship Id="rId28" Type="http://schemas.openxmlformats.org/officeDocument/2006/relationships/package" Target="embeddings/Document2.docx"/><Relationship Id="rId27" Type="http://schemas.openxmlformats.org/officeDocument/2006/relationships/image" Target="media/image15.emf"/><Relationship Id="rId26" Type="http://schemas.openxmlformats.org/officeDocument/2006/relationships/package" Target="embeddings/Document1.docx"/><Relationship Id="rId25" Type="http://schemas.openxmlformats.org/officeDocument/2006/relationships/image" Target="media/image14.emf"/><Relationship Id="rId24" Type="http://schemas.openxmlformats.org/officeDocument/2006/relationships/oleObject" Target="embeddings/oleObject2.bin"/><Relationship Id="rId23" Type="http://schemas.openxmlformats.org/officeDocument/2006/relationships/image" Target="media/image13.emf"/><Relationship Id="rId22" Type="http://schemas.openxmlformats.org/officeDocument/2006/relationships/oleObject" Target="embeddings/oleObject1.bin"/><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customXml" Target="ink/ink4.xml"/><Relationship Id="rId14" Type="http://schemas.openxmlformats.org/officeDocument/2006/relationships/image" Target="media/image6.png"/><Relationship Id="rId13" Type="http://schemas.openxmlformats.org/officeDocument/2006/relationships/customXml" Target="ink/ink3.xml"/><Relationship Id="rId12" Type="http://schemas.openxmlformats.org/officeDocument/2006/relationships/image" Target="media/image5.png"/><Relationship Id="rId11" Type="http://schemas.openxmlformats.org/officeDocument/2006/relationships/customXml" Target="ink/ink2.xml"/><Relationship Id="rId10" Type="http://schemas.openxmlformats.org/officeDocument/2006/relationships/image" Target="media/image4.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5-06-17T08:44:15"/>
    </inkml:context>
    <inkml:brush xml:id="br0">
      <inkml:brushProperty name="width" value="0.035" units="cm"/>
      <inkml:brushProperty name="height" value="0.035" units="cm"/>
      <inkml:brushProperty name="color" value="#000000"/>
    </inkml:brush>
  </inkml:definitions>
  <inkml:trace contextRef="#ctx0" brushRef="#br0">2504.000 176.000,'49.000'8.000,"-9.000"-1.000,318.000-1.000,-210.000-8.000,-117.000 1.000,0.000-2.000,51.000-12.000,-51.000 8.000,1.000 2.000,45.000-3.000,-37.000 8.000,32.000-1.000,96.000-12.000,-124.000 8.000,-31.000 5.000,0.000-1.000,-1.000-1.000,1.000 0.000,13.000-5.000,-26.000 7.000,0.000 0.000,0.000 0.000,0.000 0.000,0.000 0.000,0.000 0.000,-1.000-1.000,1.000 1.000,0.000 0.000,0.000 0.000,0.000 0.000,0.000 0.000,0.000 0.000,0.000 0.000,0.000 0.000,0.000-1.000,0.000 1.000,0.000 0.000,0.000 0.000,-1.000 0.000,1.000 0.000,0.000 0.000,0.000-1.000,0.000 1.000,0.000 0.000,0.000 0.000,0.000 0.000,0.000 0.000,0.000 0.000,0.000-1.000,0.000 1.000,0.000 0.000,1.000 0.000,-1.000 0.000,0.000 0.000,0.000 0.000,0.000 0.000,0.000-1.000,0.000 1.000,0.000 0.000,0.000 0.000,0.000 0.000,0.000 0.000,-11.000-2.000</inkml:trace>
  <inkml:trace contextRef="#ctx0" brushRef="#br0">253.000 406.000,'977.000'0.000,"-949.000"2.000,43.000 7.000,-55.000-6.000,0.000 0.000,1.000-1.000,-1.000-1.000,1.000 0.000,-1.000-1.000,1.000-1.000,-1.000-1.000,21.000-4.000,-10.000-1.000,-22.000 6.000,-18.000 4.000,-3.000 1.000</inkml:trace>
  <inkml:trace contextRef="#ctx0" brushRef="#br0">40.000 542.000,'1252.000'0.000,"-1252.000"0.000,3.000 0.000,0.000 0.000,0.000 0.000,0.000 0.000,0.000 0.000,0.000 0.000,0.000-1.000,0.000 1.000,-1.000-1.000,1.000 0.000,0.000 0.000,0.000 0.000,-1.000 0.000,1.000 0.000,3.000-3.000,2.000-4.000</inkml:trace>
  <inkml:trace contextRef="#ctx0" brushRef="#br0">1.000 157.000,'306.000'15.000,"11.000"-9.000,-182.000-8.000,-85.000 3.000,-19.000 0.000,0.000-1.000,-1.000-1.000,1.000-2.000,30.000-6.000,-46.000 5.000,-2.000 2.000</inkml:trace>
  <inkml:trace contextRef="#ctx0" brushRef="#br0">22.000 41.000,'797.000'0.000,"-776.000"-1.000,1.000-1.000,22.000-5.000,35.000-4.000,54.000-8.000,-117.000 19.000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5-06-17T08:44:15"/>
    </inkml:context>
    <inkml:brush xml:id="br0">
      <inkml:brushProperty name="width" value="0.035" units="cm"/>
      <inkml:brushProperty name="height" value="0.035" units="cm"/>
      <inkml:brushProperty name="color" value="#000000"/>
    </inkml:brush>
  </inkml:definitions>
  <inkml:trace contextRef="#ctx0" brushRef="#br0">0.000 21.000,'461.000'0.000,"-433.000"-1.000,40.000-8.000,-41.000 5.000,44.000-2.000,487.000 7.000,-541.000 0.000,-1.000 1.000,30.000 7.000,-9.000-2.000,-3.000-1.000,-8.000-1.000,1.000-1.000,39.000 1.000,-54.000-4.000,-1.000-1.000,1.000 0.000,-1.000-1.000,1.000 0.000,-1.000-1.000,1.000 0.000,-1.000-1.000,0.000 0.000,0.000-1.000,0.000 0.000,11.000-7.000,-22.000 11.000,0.000 0.000,0.000 0.000,0.000 0.000,1.000 0.000,-1.000 0.000,0.000 0.000,0.000 0.000,0.000 0.000,0.000 0.000,0.000 0.000,0.000 0.000,0.000 0.000,0.000 0.000,1.000 0.000,-1.000-1.000,0.000 1.000,0.000 0.000,0.000 0.000,0.000 0.000,0.000 0.000,0.000 0.000,0.000 0.000,0.000 0.000,0.000 0.000,0.000-1.000,0.000 1.000,0.000 0.000,0.000 0.000,0.000 0.000,0.000 0.000,0.000 0.000,0.000 0.000,0.000-1.000,0.000 1.000,0.000 0.000,0.000 0.000,0.000 0.000,0.000 0.000,0.000 0.000,0.000 0.000,0.000-1.000,0.000 1.000,0.000 0.000,0.000 0.000,0.000 0.000,0.000 0.000,0.000 0.000,0.000 0.000,-1.000 0.000,1.000 0.000,0.000-1.000,0.000 1.000,0.000 0.000,0.000 0.000,0.000 0.000,0.000 0.000,0.000 0.000,0.000 0.000,-1.000 0.000,1.000 0.000,0.000 0.000,0.000 0.000,-14.000-3.000,-17.000 1.000,15.000 3.000,-1.000 1.000,1.000 0.000,0.000 1.000,-25.000 9.000,25.000-7.000,-1.000 0.000,0.000-2.000,0.000 0.000,-21.000 1.000,-39.000-4.000,32.000-1.000,0.000 2.000,-88.000 14.000,-181.000 36.000,281.000-46.000,-40.000 2.000,-23.000 3.000,56.000-5.000,0.000-1.000,0.000-3.000,-42.000-3.000,-60.000 2.000,34.000 19.000,93.000-17.000,0.000 0.000,-22.000 7.000,37.000-7.000,9.000 0.000,11.000 1.000,72.000-2.000,0.000-4.000,0.000-4.000,148.000-30.000,-128.000 20.000,22.000-6.000,-130.000 22.000,58.000-10.000,-59.000 10.000,1.000 1.000,-1.000-1.000,0.000 1.000,0.000 0.000,0.000 0.000,0.000 0.000,0.000 1.000,0.000-1.000,0.000 1.000,0.000 0.000,0.000 0.000,0.000 0.000,0.000 0.000,0.000 0.000,0.000 1.000,4.000 2.000,-6.000-3.000,-1.000-1.000,1.000 1.000,-1.000-1.000,0.000 0.000,1.000 1.000,-1.000-1.000,0.000 1.000,0.000-1.000,1.000 1.000,-1.000-1.000,0.000 1.000,0.000-1.000,0.000 1.000,0.000-1.000,0.000 1.000,0.000-1.000,1.000 1.000,-1.000-1.000,0.000 1.000,0.000-1.000,-1.000 1.000,1.000 0.000,0.000-1.000,0.000 1.000,0.000-1.000,0.000 1.000,0.000-1.000,-1.000 1.000,1.000-1.000,0.000 1.000,0.000-1.000,-1.000 0.000,1.000 1.000,0.000-1.000,-1.000 1.000,1.000-1.000,0.000 0.000,-1.000 1.000,1.000-1.000,-1.000 1.000,1.000-1.000,0.000 0.000,-1.000 0.000,1.000 1.000,-1.000-1.000,1.000 0.000,-1.000 0.000,1.000 0.000,-1.000 1.000,1.000-1.000,-1.000 0.000,1.000 0.000,-1.000 0.000,0.000 0.000,0.000 0.000,-30.000 7.000,14.000-6.000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5-06-17T08:44:15"/>
    </inkml:context>
    <inkml:brush xml:id="br0">
      <inkml:brushProperty name="width" value="0.035" units="cm"/>
      <inkml:brushProperty name="height" value="0.035" units="cm"/>
      <inkml:brushProperty name="color" value="#000000"/>
    </inkml:brush>
  </inkml:definitions>
  <inkml:trace contextRef="#ctx0" brushRef="#br0">359.000 246.000,'214.000'1.000,"229.000"-3.000,-367.000-4.000,81.000-18.000,-94.000 12.000,0.000 3.000,85.000-1.000,-139.000 11.000,-8.000 1.000,-18.000 6.000,-32.000 5.000,-165.000 27.000,-279.000 15.000,308.000-51.000,108.000-5.000,-124.000 16.000,278.000-9.000,92.000-7.000,383.000 20.000,-512.000-8.000,-27.000 0.000,-13.000-11.000,0.000 1.000,-1.000-1.000,1.000 1.000,0.000-1.000,0.000 1.000,0.000-1.000,0.000 1.000,0.000-1.000,-1.000 1.000,1.000-1.000,0.000 0.000,0.000 1.000,-1.000-1.000,1.000 1.000,0.000-1.000,-1.000 0.000,1.000 1.000,-1.000-1.000,1.000 0.000,0.000 1.000,-1.000-1.000,1.000 0.000,-1.000 0.000,1.000 1.000,-1.000-1.000,1.000 0.000,0.000 0.000,-1.000 0.000,1.000 0.000,-1.000 1.000,0.000-1.000,-40.000 14.000,-1.000-3.000,0.000-1.000,-67.000 6.000,27.000-4.000,-622.000 49.000,631.000-58.000,38.000-1.000,27.000 2.000,15.000 0.000,19.000 1.000,80.000 4.000,119.000-8.000,-111.000-3.000,373.000 2.000,-477.000-1.000,0.000 1.000,-1.000 1.000,2.000 0.000,-1.000 0.000,-1.000 1.000,1.000 1.000,0.000-1.000,15.000 8.000,-25.000-9.000,1.000-1.000,-1.000 0.000,1.000 1.000,-1.000-1.000,1.000 1.000,-1.000-1.000,1.000 1.000,-1.000-1.000,0.000 1.000,1.000-1.000,-1.000 1.000,1.000-1.000,-1.000 1.000,0.000-1.000,0.000 1.000,1.000-1.000,-1.000 1.000,0.000 0.000,0.000-1.000,0.000 1.000,0.000 0.000,0.000-1.000,1.000 1.000,-1.000 0.000,-1.000-1.000,1.000 1.000,0.000-1.000,0.000 1.000,0.000 0.000,0.000-1.000,0.000 2.000,0.000-1.000,-1.000-1.000,1.000 1.000,0.000-1.000,0.000 1.000,-1.000-1.000,1.000 1.000,-1.000 0.000,1.000-1.000,0.000 1.000,-1.000-1.000,1.000 0.000,-2.000 1.000,-23.000 21.000,6.000-11.000,0.000-1.000,-1.000-1.000,0.000 0.000,-30.000 7.000,-93.000 17.000,60.000-15.000,57.000-13.000,16.000-4.000,0.000 1.000,1.000 0.000,0.000 0.000,0.000 1.000,-1.000 0.000,2.000 2.000,-14.000 5.000,22.000-9.000,0.000-1.000,0.000 0.000,0.000 0.000,-1.000 0.000,1.000 0.000,0.000 0.000,0.000 0.000,0.000 0.000,0.000 0.000,0.000 0.000,0.000 1.000,0.000-1.000,-1.000 0.000,1.000 0.000,0.000 0.000,0.000 0.000,0.000 0.000,0.000 0.000,0.000 1.000,0.000-1.000,0.000 0.000,0.000 0.000,0.000 0.000,0.000 0.000,0.000 0.000,0.000 1.000,0.000-1.000,0.000 0.000,0.000 0.000,0.000 0.000,0.000 0.000,0.000 1.000,0.000-1.000,0.000 0.000,0.000 0.000,0.000 0.000,0.000 0.000,0.000 0.000,0.000 1.000,0.000-1.000,0.000 0.000,0.000 0.000,1.000 0.000,-1.000 0.000,9.000 6.000,13.000-3.000,66.000 0.000,154.000-16.000,-80.000 3.000,-198.000 9.000,0.000 0.000,-1.000-2.000,-57.000-14.000,-104.000-39.000,187.000 53.000,-5.000-2.000,-1.000 0.000,-27.000-15.000,42.000 19.000,1.000 1.000,0.000-1.000,0.000 1.000,0.000-1.000,1.000 1.000,-1.000-1.000,0.000 0.000,0.000 1.000,0.000-1.000,0.000 0.000,0.000 0.000,1.000 1.000,-1.000-2.000,0.000 1.000,1.000 0.000,-1.000 0.000,1.000 0.000,-1.000 0.000,1.000 0.000,-1.000 0.000,1.000 0.000,0.000 0.000,-1.000 0.000,1.000-2.000,0.000 2.000,1.000 0.000,-1.000 0.000,1.000 0.000,-1.000 0.000,1.000 0.000,0.000 0.000,-1.000-1.000,1.000 1.000,0.000 0.000,0.000 0.000,-1.000 1.000,1.000-1.000,0.000 0.000,0.000 0.000,0.000 1.000,0.000-1.000,0.000 1.000,2.000-2.000,7.000-2.000,-1.000 1.000,0.000-1.000,1.000 1.000,12.000-2.000,22.000-1.000,57.000 0.000,-58.000 4.000,55.000-9.000,-98.000 11.000,0.000 0.000,0.000 0.000,0.000 0.000,0.000 0.000,0.000 0.000,0.000 0.000,0.000 0.000,0.000-1.000,0.000 1.000,0.000 0.000,0.000 0.000,0.000 0.000,0.000 0.000,0.000 0.000,0.000 0.000,0.000 0.000,0.000 0.000,0.000 0.000,0.000 0.000,0.000 0.000,0.000 0.000,0.000 0.000,0.000 0.000,0.000 0.000,0.000 0.000,0.000 0.000,0.000 0.000,0.000 0.000,0.000 0.000,-11.000-1.000,-19.000 1.000,-259.000 17.000,392.000-18.000,-20.000 2.000,161.000-21.000,-216.000 14.000,-21.000 1.000,-18.000 4.000,-18.000 2.000,-224.000 58.000,241.000-56.000,-13.000 7.000,25.000-10.000,0.000 0.000,0.000 0.000,0.000 0.000,0.000 0.000,-1.000 0.000,1.000 0.000,0.000 0.000,0.000 0.000,0.000 0.000,0.000 0.000,-1.000 1.000,1.000-1.000,0.000 0.000,0.000 0.000,0.000 0.000,0.000 0.000,0.000 0.000,0.000 1.000,0.000-1.000,-1.000 0.000,1.000 0.000,0.000 0.000,0.000 0.000,0.000 1.000,0.000-1.000,0.000 0.000,0.000 0.000,0.000 0.000,0.000 1.000,0.000-1.000,0.000 0.000,0.000 0.000,0.000 0.000,0.000 0.000,0.000 1.000,0.000-1.000,0.000 0.000,0.000 0.000,0.000 0.000,0.000 1.000,1.000-1.000,-1.000 0.000,0.000 0.000,0.000 0.000,0.000 0.000,0.000 0.000,0.000 1.000,0.000-1.000,0.000 0.000,1.000 0.000,-1.000 0.000,0.000 0.000,15.000 9.000,21.000 4.000,95.000 8.000,-83.000-15.000,55.000 15.000,-94.000-16.000,-16.000 1.000,-22.000 0.000,27.000-6.000,-82.000 13.000,47.000-7.000,30.000-5.000,8.000-2.000,6.000-1.000,18.000-4.000,-25.000 6.000,0.000 0.000,0.000 0.000,-1.000 0.000,1.000 0.000,0.000 0.000,0.000 0.000,0.000-1.000,0.000 1.000,0.000 0.000,0.000 0.000,-1.000 0.000,1.000 0.000,0.000 0.000,0.000-1.000,0.000 1.000,0.000 0.000,0.000 0.000,0.000 0.000,0.000 0.000,0.000 0.000,0.000-1.000,0.000 1.000,0.000 0.000,0.000 0.000,0.000 0.000,0.000 0.000,0.000-1.000,0.000 1.000,0.000 0.000,0.000 0.000,0.000 0.000,0.000 0.000,0.000-1.000,0.000 1.000,0.000 0.000,0.000 0.000,0.000 0.000,0.000 0.000,1.000 0.000,-1.000-1.000,0.000 1.000,0.000 0.000,0.000 0.000,0.000 0.000,0.000 0.000,0.000 0.000,1.000 0.000,-3.000-1.000,0.000 0.000,0.000 1.000,0.000-1.000,-1.000 0.000,1.000 0.000,1.000 0.000,-1.000 0.000,0.000 0.000,1.000 0.000,-1.000 0.000,0.000-2.000,1.000 2.000,0.000-1.000,-1.000 1.000,1.000-1.000,0.000 1.000,0.000-1.000,0.000 0.000,0.000 0.000,0.000 1.000,0.000-1.000,0.000 0.000,1.000 0.000,-1.000-1.000,1.000 1.000,-1.000 0.000,1.000 0.000,0.000 0.000,0.000 0.000,0.000 0.000,0.000 0.000,0.000 0.000,0.000 0.000,0.000 0.000,1.000-4.000,1.000-4.000,1.000 0.000,0.000 0.000,0.000 0.000,1.000 0.000,9.000-15.000,-11.000 21.000,1.000-1.000,-1.000 1.000,0.000-1.000,0.000 1.000,0.000 0.000,0.000-2.000,-1.000 1.000,0.000 1.000,0.000-1.000,0.000 0.000,0.000-1.000,-1.000 2.000,0.000-1.000,0.000 0.000,0.000-1.000,-1.000 1.000,1.000 1.000,-1.000-1.000,0.000 0.000,-1.000 0.000,1.000 0.000,-1.000 0.000,0.000 1.000,0.000-1.000,0.000 0.000,-1.000 1.000,1.000 0.000,-2.000 0.000,1.000 1.000,0.000-2.000,-1.000 1.000,-6.000-5.000,-2.000-3.000,-1.000 1.000,0.000 0.000,0.000 1.000,-2.000 0.000,1.000 2.000,0.000 0.000,-2.000 0.000,1.000 1.000,0.000 1.000,-1.000 0.000,-27.000-4.000,26.000 7.000,3.000 0.000,-2.000 1.000,2.000-3.000,0.000 1.000,-21.000-9.000,33.000 11.000,0.000 1.000,0.000 0.000,0.000 0.000,0.000 0.000,-1.000 0.000,1.000 0.000,0.000-1.000,1.000 1.000,-1.000-1.000,1.000 1.000,-1.000-1.000,1.000 0.000,-1.000 1.000,1.000-1.000,0.000-1.000,0.000 1.000,0.000 0.000,0.000 0.000,0.000 0.000,0.000 0.000,0.000 0.000,1.000-1.000,-1.000 1.000,1.000 0.000,0.000-1.000,0.000 1.000,-1.000-1.000,1.000 1.000,1.000 0.000,-1.000 0.000,0.000-1.000,0.000 1.000,1.000 0.000,0.000 0.000,-1.000-1.000,2.000-3.000,0.000 2.000,-1.000-1.000,1.000 1.000,0.000-1.000,0.000 0.000,0.000 1.000,1.000 0.000,-1.000 0.000,1.000-1.000,1.000 1.000,-1.000 1.000,0.000-1.000,1.000 1.000,-1.000 0.000,1.000-1.000,0.000 1.000,0.000 0.000,0.000 1.000,0.000 0.000,0.000-1.000,2.000 2.000,-2.000-1.000,0.000 0.000,7.000-2.000,46.000-3.000,72.000-1.000,-165.000 9.000,17.000 1.000,2.000-1.000,-2.000-2.000,1.000 0.000,-22.000-3.000,39.000 4.000,1.000 0.000,-1.000 0.000,1.000 0.000,-1.000 0.000,1.000-1.000,0.000 1.000,-1.000 0.000,1.000 0.000,-1.000 0.000,1.000 0.000,0.000 0.000,-1.000-1.000,1.000 1.000,-1.000 0.000,1.000 0.000,0.000 0.000,-1.000-2.000,1.000 2.000,0.000 0.000,-1.000-1.000,1.000 1.000,0.000 0.000,0.000-1.000,-1.000 1.000,1.000 0.000,0.000-1.000,0.000 1.000,0.000-1.000,-1.000 1.000,1.000 0.000,0.000-1.000,0.000 1.000,0.000-1.000,0.000 1.000,0.000 0.000,0.000-1.000,0.000 1.000,0.000-1.000,0.000 1.000,0.000-1.000,0.000 1.000,0.000 0.000,0.000-1.000,0.000 1.000,1.000-1.000,-1.000 1.000,0.000-1.000,0.000 0.000,1.000 1.000,-1.000-1.000,0.000 1.000,0.000-1.000,0.000 1.000,0.000 0.000,1.000-1.000,-1.000 0.000,0.000 1.000,0.000-1.000,0.000 1.000,0.000-1.000,0.000 1.000,-1.000-1.000,1.000 1.000,0.000-2.000,0.000 2.000,0.000-1.000,0.000 1.000,0.000 0.000,-1.000-1.000,1.000 1.000,0.000-1.000,0.000 1.000,-1.000-1.000,1.000 1.000,0.000 0.000,-1.000-1.000,1.000 1.000,0.000-1.000,-1.000 1.000,1.000 0.000,-1.000 0.000,1.000-1.000,-1.000 1.000,1.000 0.000,-2.000 0.000,2.000 0.000,0.000-1.000,0.000 1.000,0.000 0.000,0.000 0.000,0.000 0.000,-1.000 0.000,1.000 0.000,0.000 0.000,0.000 0.000,0.000 0.000,0.000 0.000,0.000 0.000,0.000-1.000,0.000 1.000,-1.000 0.000,1.000 0.000,0.000 0.000,0.000 0.000,0.000 0.000,0.000 0.000,0.000-1.000,0.000 1.000,0.000 0.000,0.000 0.000,0.000 0.000,0.000 0.000,0.000 0.000,0.000-1.000,0.000 1.000,0.000 0.000,0.000 0.000,0.000 0.000,0.000 0.000,0.000 0.000,0.000-1.000,0.000 1.000,0.000 0.000,0.000 0.000,0.000 0.000,0.000 0.000,0.000 0.000,0.000-1.000,0.000 1.000,1.000 0.000,-1.000 0.000,0.000 0.000,0.000 0.000,0.000 0.000,0.000 0.000,0.000 0.000,0.000-1.000,0.000 1.000,1.000 0.000,13.000-6.000,16.000-2.000,15.000-3.000,-34.000 8.000,-1.000-1.000,1.000 2.000,18.000-1.000,-15.000 2.000,37.000-1.000,-49.000 2.000,0.000 0.000,0.000 0.000,0.000 0.000,0.000 0.000,0.000 1.000,0.000-1.000,0.000 1.000,0.000-1.000,0.000 1.000,0.000 0.000,0.000 0.000,0.000 0.000,-1.000 0.000,1.000 0.000,0.000 0.000,0.000 0.000,1.000 3.000,-3.000-3.000,0.000-1.000,0.000 1.000,1.000-1.000,-1.000 1.000,0.000-1.000,0.000 1.000,0.000 0.000,0.000-1.000,0.000 1.000,0.000-1.000,0.000 1.000,0.000 0.000,0.000-1.000,0.000 1.000,-1.000-1.000,1.000 1.000,0.000 0.000,0.000-1.000,0.000 1.000,-1.000-1.000,1.000 1.000,0.000-1.000,-1.000 1.000,1.000-1.000,0.000 1.000,-1.000-1.000,1.000 0.000,-1.000 1.000,1.000-1.000,0.000 1.000,-1.000-1.000,1.000 0.000,-1.000 1.000,1.000-1.000,-1.000 0.000,0.000 0.000,1.000 2.000,-2.000-2.000,-22.000 10.000,-9.000-2.000,0.000 0.000,-51.000 3.000,58.000-10.000,1.000 2.000,-1.000 2.000,1.000 0.000,0.000 1.000,-36.000 15.000,60.000-20.000,0.000-1.000,0.000 1.000,0.000-1.000,0.000 1.000,-1.000-1.000,1.000 1.000,0.000 0.000,0.000-1.000,0.000 1.000,0.000 0.000,0.000 0.000,0.000 0.000,0.000 1.000,0.000-1.000,1.000 0.000,-1.000 0.000,0.000 0.000,0.000 2.000,1.000-2.000,0.000 0.000,0.000-1.000,0.000 1.000,0.000 0.000,0.000 0.000,0.000 0.000,1.000 0.000,-1.000-1.000,0.000 1.000,0.000 0.000,1.000 0.000,-1.000-1.000,0.000 1.000,1.000 0.000,-1.000 0.000,1.000-1.000,-1.000 2.000,1.000-1.000,-1.000-1.000,2.000 2.000,6.000 3.000,-1.000 0.000,0.000 0.000,0.000 0.000,13.000 4.000,-13.000-5.000,46.000 19.000,0.000-2.000,2.000-2.000,1.000-3.000,67.000 10.000,22.000 7.000,-143.000-33.000,-1.000 0.000,0.000 0.000,0.000 0.000,1.000 1.000,-1.000-1.000,0.000 0.000,0.000 2.000,1.000-2.000,-1.000 1.000,0.000 0.000,0.000-1.000,0.000 1.000,0.000 0.000,1.000 0.000,-1.000 0.000,1.000 1.000,-2.000-2.000,0.000 1.000,-1.000-1.000,1.000 0.000,0.000 1.000,0.000-1.000,-1.000 1.000,1.000-1.000,0.000 1.000,-1.000-1.000,1.000 0.000,0.000 1.000,-2.000-1.000,2.000 0.000,-1.000 1.000,1.000-1.000,-1.000 0.000,1.000 0.000,-1.000 1.000,1.000-1.000,-1.000 0.000,1.000 0.000,-1.000 0.000,1.000 0.000,-1.000 0.000,0.000 0.000,-51.000 11.000,50.000-11.000,-131.000 9.000,-21.000 5.000,150.000-14.000,1.000 0.000,-1.000 1.000,0.000-1.000,1.000 1.000,-1.000 0.000,1.000 0.000,-1.000 0.000,1.000 0.000,-2.000 1.000,2.000 0.000,-7.000 3.000,10.000-5.000,0.000 0.000,0.000 2.000,0.000-2.000,0.000 0.000,0.000 0.000,0.000 0.000,-1.000 0.000,1.000 0.000,0.000 1.000,0.000-1.000,0.000 0.000,0.000 0.000,0.000 0.000,0.000 0.000,0.000 1.000,0.000-1.000,0.000 0.000,0.000 0.000,0.000 0.000,0.000 0.000,0.000 1.000,0.000-1.000,0.000 0.000,0.000 0.000,0.000 0.000,0.000 0.000,0.000 1.000,0.000-1.000,0.000 0.000,0.000 0.000,0.000 0.000,0.000 0.000,0.000 1.000,0.000-1.000,0.000 0.000,0.000 0.000,1.000 0.000,-1.000 0.000,0.000 0.000,0.000 1.000,0.000-1.000,0.000 0.000,0.000 0.000,1.000 0.000,-1.000 0.000,12.000 5.000,14.000-1.000,-11.000-3.000,-11.000-2.000,1.000 1.000,-1.000 0.000,0.000 0.000,1.000 0.000,-1.000 0.000,0.000 1.000,0.000 0.000,0.000 0.000,0.000 0.000,5.000 3.000,-44.000 10.000,31.000-12.000,-21.000 8.000,23.000-6.000,16.000-1.000,78.000-1.000,-57.000-2.000,41.000 4.000,-74.000-4.000,0.000 0.000,0.000 0.000,0.000 1.000,0.000-1.000,0.000 1.000,0.000 1.000,1.000-1.000,-1.000-1.000,0.000 1.000,0.000 1.000,3.000 1.000,-4.000-3.000,-1.000 1.000,1.000 0.000,-1.000-1.000,1.000 1.000,-1.000 0.000,1.000-1.000,-1.000 1.000,1.000 0.000,-1.000 0.000,0.000-1.000,1.000 1.000,-1.000 0.000,0.000 0.000,0.000 0.000,0.000 0.000,1.000-1.000,-1.000 1.000,0.000 0.000,0.000 1.000,0.000 0.000,-1.000 1.000,0.000-1.000,0.000 1.000,0.000 0.000,0.000-1.000,0.000 1.000,-1.000-1.000,1.000 1.000,-1.000 0.000,1.000-1.000,-1.000 0.000,0.000 0.000,0.000 0.000,-1.000 0.000,1.000 0.000,-3.000 2.000,-13.000 10.000,1.000-1.000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5-06-17T08:44:15"/>
    </inkml:context>
    <inkml:brush xml:id="br0">
      <inkml:brushProperty name="width" value="0.035" units="cm"/>
      <inkml:brushProperty name="height" value="0.035" units="cm"/>
      <inkml:brushProperty name="color" value="#000000"/>
    </inkml:brush>
  </inkml:definitions>
  <inkml:trace contextRef="#ctx0" brushRef="#br0">314.000 82.000,'5.000'-3.000,"-1.000"0.000,1.000 1.000,-1.000 0.000,1.000 0.000,0.000 0.000,0.000 0.000,0.000 1.000,10.000-2.000,-3.000 0.000,34.000-8.000,1.000 2.000,0.000 2.000,58.000-2.000,-249.000 19.000,9.000 0.000,99.000-8.000,24.000 0.000,-1.000-1.000,0.000 0.000,1.000-1.000,-1.000-1.000,1.000 0.000,-25.000-6.000,36.000 7.000,0.000 0.000,0.000 0.000,0.000-1.000,0.000 1.000,1.000 0.000,-1.000-1.000,0.000 1.000,0.000-1.000,1.000 1.000,-1.000-1.000,0.000 1.000,0.000-1.000,1.000 1.000,-1.000-1.000,1.000 0.000,-1.000 1.000,1.000-1.000,-1.000 0.000,1.000 0.000,-1.000 0.000,1.000 0.000,0.000 1.000,0.000-1.000,0.000 1.000,0.000-1.000,0.000 1.000,1.000-1.000,-1.000 1.000,0.000-1.000,0.000 1.000,0.000-1.000,1.000 1.000,-1.000-1.000,0.000 1.000,1.000 0.000,-1.000-1.000,0.000 1.000,1.000 0.000,-1.000-1.000,1.000 1.000,-1.000 0.000,1.000-1.000,-1.000 1.000,1.000-1.000,3.000-1.000,1.000 0.000,-1.000 1.000,0.000-1.000,0.000 1.000,1.000 0.000,4.000-1.000,43.000-2.000,0.000 1.000,0.000 4.000,0.000 1.000,0.000 3.000,0.000 2.000,70.000 19.000,-122.000-26.000,1.000 0.000,0.000 0.000,0.000 0.000,0.000 0.000,0.000 0.000,0.000 1.000,0.000-1.000,0.000 0.000,0.000 1.000,0.000-1.000,0.000 0.000,-1.000 1.000,1.000-1.000,0.000 1.000,0.000-1.000,0.000 1.000,-1.000 0.000,1.000-1.000,0.000 1.000,-1.000 0.000,1.000-1.000,-1.000 1.000,1.000 0.000,0.000 1.000,-1.000-1.000,-1.000 0.000,1.000 0.000,-1.000 0.000,0.000 0.000,1.000 0.000,-1.000-1.000,0.000 1.000,0.000 0.000,1.000-1.000,-1.000 1.000,0.000-1.000,0.000 1.000,0.000-1.000,0.000 1.000,0.000-1.000,0.000 1.000,0.000-1.000,-1.000 1.000,-59.000 15.000,59.000-16.000,-123.000 24.000,-213.000 12.000,322.000-35.000,18.000 2.000,26.000 1.000,189.000 3.000,-82.000-4.000,-100.000 3.000,-24.000-1.000,-11.000-4.000,0.000-1.000,0.000 0.000,0.000 1.000,0.000-1.000,0.000 0.000,0.000 1.000,0.000-1.000,0.000 0.000,-1.000 1.000,1.000-1.000,0.000 0.000,0.000 0.000,0.000 1.000,-1.000-1.000,1.000 0.000,0.000 0.000,0.000 1.000,-1.000-1.000,1.000 0.000,0.000 0.000,-1.000 0.000,1.000 1.000,0.000-1.000,0.000 0.000,-1.000 0.000,1.000 0.000,0.000 0.000,-1.000 0.000,1.000 0.000,0.000 1.000,-1.000-1.000,1.000 0.000,0.000 0.000,-2.000 0.000,-27.000 7.000,-2.000-2.000,1.000-1.000,-1.000-1.000,0.000-1.000,-39.000-3.000,17.000 0.000,-92.000 1.000,456.000-10.000,58.000-1.000,-450.000 27.000,-79.000 2.000,-66.000 5.000,158.000-17.000,68.000-6.000,0.000 0.000,0.000 1.000,0.000-1.000,0.000 0.000,0.000 0.000,0.000 0.000,0.000 0.000,0.000 0.000,0.000 0.000,0.000 0.000,0.000 0.000,0.000 0.000,1.000 1.000,-1.000-1.000,0.000 0.000,0.000 0.000,0.000 0.000,0.000 0.000,0.000 0.000,0.000 0.000,0.000 0.000,0.000 1.000,0.000-1.000,0.000 0.000,0.000 0.000,0.000 0.000,-1.000 0.000,1.000 0.000,0.000 0.000,0.000 0.000,0.000 0.000,0.000 1.000,0.000-1.000,0.000 0.000,0.000 0.000,0.000 0.000,0.000 0.000,0.000 0.000,0.000 0.000,0.000 0.000,0.000 0.000,-1.000 0.000,1.000 0.000,0.000 0.000,0.000 1.000,0.000-1.000,0.000 0.000,0.000 0.000,0.000 0.000,0.000 0.000,0.000 0.000,-1.000 0.000,1.000 0.000,0.000 0.000,0.000 0.000,0.000 0.000,0.000 0.000,0.000 0.000,16.000 5.000,25.000 3.000,114.000 4.000,-81.000-7.000,-70.000-4.000,1.000-1.000,-1.000 1.000,0.000 0.000,0.000 0.000,0.000 1.000,5.000 2.000,-9.000-4.000,1.000 0.000,-1.000 0.000,0.000 0.000,0.000 0.000,1.000 1.000,-1.000-1.000,0.000 0.000,1.000 0.000,-1.000 0.000,0.000 0.000,0.000 1.000,0.000-1.000,1.000 0.000,-1.000 0.000,0.000 1.000,0.000-1.000,0.000 0.000,1.000 1.000,-1.000-1.000,0.000 0.000,0.000 0.000,0.000 1.000,0.000-1.000,0.000 0.000,0.000 1.000,0.000-1.000,0.000 0.000,0.000 1.000,0.000-1.000,0.000 0.000,0.000 1.000,0.000 0.000,-1.000 0.000,0.000-1.000,0.000 1.000,0.000 0.000,1.000-1.000,-1.000 1.000,0.000 0.000,0.000-1.000,0.000 1.000,0.000-1.000,0.000 0.000,0.000 1.000,0.000-1.000,0.000 0.000,-2.000 1.000,-31.000 5.000,0.000-2.000,0.000 0.000,0.000-3.000,-46.000-3.000,23.000 1.000,-240.000 0.000,1073.000 1.000,-754.000-2.000,0.000-1.000,0.000 0.000,-1.000-2.000,1.000 0.000,33.000-14.000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31B434-ACE2-459C-84AE-9CFCDC7B955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38</Pages>
  <Words>17799</Words>
  <Characters>20347</Characters>
  <Lines>165</Lines>
  <Paragraphs>46</Paragraphs>
  <TotalTime>9</TotalTime>
  <ScaleCrop>false</ScaleCrop>
  <LinksUpToDate>false</LinksUpToDate>
  <CharactersWithSpaces>20740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2025-07-07T08:45:00Z</dcterms:created>
  <dc:creator>Yuan</dc:creator>
  <cp:lastModifiedBy>吴家玮</cp:lastModifiedBy>
  <cp:lastPrinted>2018-09-13T15:25:00Z</cp:lastPrinted>
  <dcterms:modified xsi:type="dcterms:W3CDTF">2025-07-08T07:41:15Z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04C60296285C464393332E4D304A60E8</vt:lpwstr>
  </property>
  <property fmtid="{D5CDD505-2E9C-101B-9397-08002B2CF9AE}" pid="4" name="KSOTemplateDocerSaveRecord">
    <vt:lpwstr>eyJoZGlkIjoiYWQ4ODlmZDZlZGU4MzM1ZDViYjgwODFjYTIzYmYwNzciLCJ1c2VySWQiOiI1ODM2NjA1MjcifQ==</vt:lpwstr>
  </property>
</Properties>
</file>